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000"/>
      </w:pPr>
    </w:p>
    <w:p>
      <w:pPr>
        <w:spacing w:after="200"/>
        <w:jc w:val="center"/>
      </w:pPr>
      <w:r>
        <w:rPr>
          <w:rFonts w:ascii="Arial" w:cs="Arial" w:eastAsia="Arial" w:hAnsi="Arial"/>
          <w:b/>
          <w:bCs/>
          <w:color w:val="7C3AED"/>
          <w:sz w:val="56"/>
          <w:szCs w:val="56"/>
        </w:rPr>
        <w:t xml:space="preserve">SPECTRA</w:t>
      </w:r>
    </w:p>
    <w:p>
      <w:pPr>
        <w:spacing w:after="100"/>
        <w:jc w:val="center"/>
      </w:pPr>
      <w:r>
        <w:rPr>
          <w:rFonts w:ascii="Arial" w:cs="Arial" w:eastAsia="Arial" w:hAnsi="Arial"/>
          <w:i/>
          <w:iCs/>
          <w:color w:val="F59E0B"/>
          <w:sz w:val="24"/>
          <w:szCs w:val="24"/>
        </w:rPr>
        <w:t xml:space="preserve">The full spectrum of your codebase.</w:t>
      </w:r>
    </w:p>
    <w:p>
      <w:pPr>
        <w:spacing w:before="600"/>
      </w:pPr>
    </w:p>
    <w:p>
      <w:pPr>
        <w:pBdr>
          <w:bottom w:val="single" w:color="7C3AED" w:sz="2"/>
        </w:pBdr>
        <w:spacing w:after="100"/>
        <w:jc w:val="center"/>
      </w:pPr>
      <w:r>
        <w:rPr>
          <w:rFonts w:ascii="Arial" w:cs="Arial" w:eastAsia="Arial" w:hAnsi="Arial"/>
          <w:b/>
          <w:bCs/>
          <w:color w:val="1E293B"/>
          <w:sz w:val="36"/>
          <w:szCs w:val="36"/>
        </w:rPr>
        <w:t xml:space="preserve">Trust, Compliance &amp; Security Framework</w:t>
      </w:r>
    </w:p>
    <w:p>
      <w:pPr>
        <w:spacing w:after="400"/>
        <w:jc w:val="center"/>
      </w:pPr>
      <w:r>
        <w:rPr>
          <w:rFonts w:ascii="Arial" w:cs="Arial" w:eastAsia="Arial" w:hAnsi="Arial"/>
          <w:color w:val="6B7280"/>
          <w:sz w:val="22"/>
          <w:szCs w:val="22"/>
        </w:rPr>
        <w:t xml:space="preserve">Zero-Retention • DPA Template • SOC2 Roadmap • Threat Model • Responsible AI</w:t>
      </w:r>
    </w:p>
    <w:p>
      <w:pPr>
        <w:spacing w:after="100"/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CONFIDENTIAL — Vivek Prakash</w:t>
      </w:r>
    </w:p>
    <w:p>
      <w:pPr>
        <w:jc w:val="center"/>
      </w:pPr>
      <w:r>
        <w:rPr>
          <w:rFonts w:ascii="Arial" w:cs="Arial" w:eastAsia="Arial" w:hAnsi="Arial"/>
          <w:color w:val="9CA3AF"/>
          <w:sz w:val="20"/>
          <w:szCs w:val="20"/>
        </w:rPr>
        <w:t xml:space="preserve">Generated: 2026-02-13</w:t>
      </w:r>
    </w:p>
    <w:p>
      <w:r>
        <w:br w:type="page"/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1. Data Handling &amp; Zero-Retention Policy</w:t>
      </w:r>
    </w:p>
    <w:p>
      <w:pPr>
        <w:pBdr>
          <w:left w:val="single" w:color="7C3AED" w:sz="6"/>
        </w:pBdr>
        <w:spacing w:before="200" w:after="200"/>
        <w:ind w:left="360"/>
      </w:pPr>
      <w:r>
        <w:rPr>
          <w:rFonts w:ascii="Arial" w:cs="Arial" w:eastAsia="Arial" w:hAnsi="Arial"/>
          <w:i/>
          <w:iCs/>
          <w:color w:val="7C3AED"/>
          <w:sz w:val="22"/>
          <w:szCs w:val="22"/>
        </w:rPr>
        <w:t xml:space="preserve">Spectra never stores your code. Zero retention. Code is analyzed in ephemeral containers and deleted immediately after the report is generated.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1.1 Data Flow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User runs `spectra analyze &lt;repo&gt;` — code is cloned to ephemeral container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Code is sent to Anthropic API with zero-retention flag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Agent outputs (findings only, not source code) are assembled into report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Report is generated locally on user's machine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Ephemeral container is destroyed — no code persists on Spectra infrastructure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1.2 What Spectra Does NOT Store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Source code (never transmitted to Spectra servers in cloud version)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Git credentials or access tokens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Specific finding details linked to identifiable repos (cloud analytics are anonymized)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1.3 What Spectra Stores (Cloud Version Only)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Anonymized aggregate scores (for benchmarking — no repo names, no code)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User account info (email, billing, usage counts)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Report metadata (timestamp, duration, dimension scores — no findings text)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2. SOC2 Roadmap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Quarter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Milestone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Activities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Q2 2026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Gap Assessment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Identify current controls vs SOC2 requirements, select auditor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Q3 2026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Implement Controls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Access management, encryption, logging, incident response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Q4 2026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 I Audit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Point-in-time assessment of control design</w:t>
            </w:r>
          </w:p>
        </w:tc>
      </w:tr>
      <w:tr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Q2 2027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Type II Audit</w:t>
            </w:r>
          </w:p>
        </w:tc>
        <w:tc>
          <w:tcPr>
            <w:tcW w:type="dxa" w:w="312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6-month observation period of control effectiveness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3. Threat Model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Threat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Likelihood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Impact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7C3AED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Mitigation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Prompt injection via malicious repo code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Sandboxed agent prompts, output schema validation, no code execution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API key exposure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Critical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Environment variables only, never in code, key rotation every 90 days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LLM hallucinating false findings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CritiqueAgent validation, confidence thresholds, golden file regression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Man-in-the-middle on API calls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TLS 1.3 enforced, certificate pinning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DoS via large repos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Medium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Token budget limits, file count limits, timeout per agent</w:t>
            </w:r>
          </w:p>
        </w:tc>
      </w:tr>
      <w:tr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Data exfiltration via agent output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Low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High</w:t>
            </w:r>
          </w:p>
        </w:tc>
        <w:tc>
          <w:tcPr>
            <w:tcW w:type="dxa" w:w="2340"/>
            <w:tcBorders>
              <w:top w:val="single" w:color="D4D4D8" w:sz="1"/>
              <w:left w:val="single" w:color="D4D4D8" w:sz="1"/>
              <w:bottom w:val="single" w:color="D4D4D8" w:sz="1"/>
              <w:right w:val="single" w:color="D4D4D8" w:sz="1"/>
            </w:tcBorders>
            <w:shd w:fill="FAF5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Output schema validation, no arbitrary text in findings</w:t>
            </w:r>
          </w:p>
        </w:tc>
      </w:tr>
    </w:tbl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4. Responsible AI Framework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4.1 Principles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Transparency: Scoring methodology is documented and reproducible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Fairness: No bias toward specific languages, frameworks, or patterns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Accountability: Every finding traceable to specific agent and prompt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Safety: No code execution, no network access from agents, sandboxed analysis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Privacy: Zero-retention policy, anonymized benchmarking, user controls</w:t>
      </w:r>
    </w:p>
    <w:p>
      <w:pPr>
        <w:pStyle w:val="Heading2"/>
        <w:spacing w:before="280" w:after="160"/>
      </w:pPr>
      <w:r>
        <w:rPr>
          <w:rFonts w:ascii="Arial" w:cs="Arial" w:eastAsia="Arial" w:hAnsi="Arial"/>
          <w:b/>
          <w:bCs/>
          <w:color w:val="1E293B"/>
          <w:sz w:val="28"/>
          <w:szCs w:val="28"/>
        </w:rPr>
        <w:t xml:space="preserve">4.2 Bias Mitigation</w:t>
      </w:r>
    </w:p>
    <w:p>
      <w:pPr>
        <w:spacing w:after="120"/>
      </w:pPr>
      <w:r>
        <w:rPr>
          <w:rFonts w:ascii="Arial" w:cs="Arial" w:eastAsia="Arial" w:hAnsi="Arial"/>
          <w:sz w:val="22"/>
          <w:szCs w:val="22"/>
        </w:rPr>
        <w:t xml:space="preserve">Golden file test repos span multiple languages (TypeScript, Python, Java, Go), frameworks, and coding styles to ensure consistent scoring. Eval harness checks for scoring variance across language/framework combinations.</w:t>
      </w:r>
    </w:p>
    <w:p>
      <w:pPr>
        <w:pStyle w:val="Heading1"/>
        <w:spacing w:before="360" w:after="200"/>
      </w:pPr>
      <w:r>
        <w:rPr>
          <w:rFonts w:ascii="Arial" w:cs="Arial" w:eastAsia="Arial" w:hAnsi="Arial"/>
          <w:b/>
          <w:bCs/>
          <w:color w:val="7C3AED"/>
          <w:sz w:val="32"/>
          <w:szCs w:val="32"/>
        </w:rPr>
        <w:t xml:space="preserve">5. DPA Template (Key Clauses)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Data processed: repository file tree and source code (ephemeral)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Sub-processors: Anthropic (LLM API), cloud provider (ephemeral compute)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Retention: Zero for source code; 90 days for anonymized analytics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Data location: US (configurable for EU customers)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Incident notification: 72 hours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sz w:val="22"/>
          <w:szCs w:val="22"/>
        </w:rPr>
        <w:t xml:space="preserve">Deletion: On account closure, all data deleted within 30 days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200"/>
      <w:outlineLvl w:val="0"/>
    </w:pPr>
    <w:rPr>
      <w:rFonts w:ascii="Arial" w:cs="Arial" w:eastAsia="Arial" w:hAnsi="Arial"/>
      <w:b/>
      <w:bCs/>
      <w:color w:val="7C3AED"/>
      <w:sz w:val="32"/>
      <w:szCs w:val="32"/>
    </w:rPr>
  </w:style>
  <w:style w:type="paragraph" w:styleId="Heading2">
    <w:name w:val="Heading 2"/>
    <w:basedOn w:val="Normal"/>
    <w:next w:val="Normal"/>
    <w:qFormat/>
    <w:pPr>
      <w:spacing w:before="280" w:after="160"/>
      <w:outlineLvl w:val="1"/>
    </w:pPr>
    <w:rPr>
      <w:rFonts w:ascii="Arial" w:cs="Arial" w:eastAsia="Arial" w:hAnsi="Arial"/>
      <w:b/>
      <w:bCs/>
      <w:color w:val="1E293B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2026-02-13T20:44:17.411Z</dcterms:created>
  <dcterms:modified xsi:type="dcterms:W3CDTF">2026-02-13T20:44:17.411Z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