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before="3000"/>
      </w:pPr>
    </w:p>
    <w:p>
      <w:pPr>
        <w:spacing w:after="200"/>
        <w:jc w:val="center"/>
      </w:pPr>
      <w:r>
        <w:rPr>
          <w:rFonts w:ascii="Arial" w:cs="Arial" w:eastAsia="Arial" w:hAnsi="Arial"/>
          <w:b/>
          <w:bCs/>
          <w:color w:val="7C3AED"/>
          <w:sz w:val="56"/>
          <w:szCs w:val="56"/>
        </w:rPr>
        <w:t xml:space="preserve">SPECTRA</w:t>
      </w:r>
    </w:p>
    <w:p>
      <w:pPr>
        <w:spacing w:after="100"/>
        <w:jc w:val="center"/>
      </w:pPr>
      <w:r>
        <w:rPr>
          <w:rFonts w:ascii="Arial" w:cs="Arial" w:eastAsia="Arial" w:hAnsi="Arial"/>
          <w:i/>
          <w:iCs/>
          <w:color w:val="F59E0B"/>
          <w:sz w:val="24"/>
          <w:szCs w:val="24"/>
        </w:rPr>
        <w:t xml:space="preserve">The full spectrum of your codebase.</w:t>
      </w:r>
    </w:p>
    <w:p>
      <w:pPr>
        <w:spacing w:before="600"/>
      </w:pPr>
    </w:p>
    <w:p>
      <w:pPr>
        <w:pBdr>
          <w:bottom w:val="single" w:color="7C3AED" w:sz="2"/>
        </w:pBdr>
        <w:spacing w:after="100"/>
        <w:jc w:val="center"/>
      </w:pPr>
      <w:r>
        <w:rPr>
          <w:rFonts w:ascii="Arial" w:cs="Arial" w:eastAsia="Arial" w:hAnsi="Arial"/>
          <w:b/>
          <w:bCs/>
          <w:color w:val="1E293B"/>
          <w:sz w:val="36"/>
          <w:szCs w:val="36"/>
        </w:rPr>
        <w:t xml:space="preserve">Founder Office / C-Suite Pack</w:t>
      </w:r>
    </w:p>
    <w:p>
      <w:pPr>
        <w:spacing w:after="400"/>
        <w:jc w:val="center"/>
      </w:pPr>
      <w:r>
        <w:rPr>
          <w:rFonts w:ascii="Arial" w:cs="Arial" w:eastAsia="Arial" w:hAnsi="Arial"/>
          <w:color w:val="6B7280"/>
          <w:sz w:val="22"/>
          <w:szCs w:val="22"/>
        </w:rPr>
        <w:t xml:space="preserve">Board Narrative • OKR Cascade • Hiring Plan • Budget • Investor FAQ • Operating Plan</w:t>
      </w:r>
    </w:p>
    <w:p>
      <w:pPr>
        <w:spacing w:after="100"/>
        <w:jc w:val="center"/>
      </w:pPr>
      <w:r>
        <w:rPr>
          <w:rFonts w:ascii="Arial" w:cs="Arial" w:eastAsia="Arial" w:hAnsi="Arial"/>
          <w:color w:val="9CA3AF"/>
          <w:sz w:val="20"/>
          <w:szCs w:val="20"/>
        </w:rPr>
        <w:t xml:space="preserve">CONFIDENTIAL — Vivek Prakash</w:t>
      </w:r>
    </w:p>
    <w:p>
      <w:pPr>
        <w:jc w:val="center"/>
      </w:pPr>
      <w:r>
        <w:rPr>
          <w:rFonts w:ascii="Arial" w:cs="Arial" w:eastAsia="Arial" w:hAnsi="Arial"/>
          <w:color w:val="9CA3AF"/>
          <w:sz w:val="20"/>
          <w:szCs w:val="20"/>
        </w:rPr>
        <w:t xml:space="preserve">Generated: 2026-02-13</w:t>
      </w:r>
    </w:p>
    <w:p>
      <w:r>
        <w:br w:type="page"/>
      </w:r>
    </w:p>
    <w:p>
      <w:pPr>
        <w:pStyle w:val="Heading1"/>
        <w:spacing w:before="360" w:after="200"/>
      </w:pPr>
      <w:r>
        <w:rPr>
          <w:rFonts w:ascii="Arial" w:cs="Arial" w:eastAsia="Arial" w:hAnsi="Arial"/>
          <w:b/>
          <w:bCs/>
          <w:color w:val="7C3AED"/>
          <w:sz w:val="32"/>
          <w:szCs w:val="32"/>
        </w:rPr>
        <w:t xml:space="preserve">1. Board Deck Narrative</w:t>
      </w:r>
    </w:p>
    <w:p>
      <w:pPr>
        <w:pStyle w:val="Heading2"/>
        <w:spacing w:before="280" w:after="160"/>
      </w:pPr>
      <w:r>
        <w:rPr>
          <w:rFonts w:ascii="Arial" w:cs="Arial" w:eastAsia="Arial" w:hAnsi="Arial"/>
          <w:b/>
          <w:bCs/>
          <w:color w:val="1E293B"/>
          <w:sz w:val="28"/>
          <w:szCs w:val="28"/>
        </w:rPr>
        <w:t xml:space="preserve">The Problem</w:t>
      </w:r>
    </w:p>
    <w:p>
      <w:pPr>
        <w:spacing w:after="120"/>
      </w:pPr>
      <w:r>
        <w:rPr>
          <w:rFonts w:ascii="Arial" w:cs="Arial" w:eastAsia="Arial" w:hAnsi="Arial"/>
          <w:sz w:val="22"/>
          <w:szCs w:val="22"/>
        </w:rPr>
        <w:t xml:space="preserve">Engineering teams spend 40+ hours on manual code reviews and technical due diligence. Existing tools are fragmented: SonarQube for quality, Snyk for security, manual review for architecture. No single tool provides holistic codebase intelligence.</w:t>
      </w:r>
    </w:p>
    <w:p>
      <w:pPr>
        <w:pStyle w:val="Heading2"/>
        <w:spacing w:before="280" w:after="160"/>
      </w:pPr>
      <w:r>
        <w:rPr>
          <w:rFonts w:ascii="Arial" w:cs="Arial" w:eastAsia="Arial" w:hAnsi="Arial"/>
          <w:b/>
          <w:bCs/>
          <w:color w:val="1E293B"/>
          <w:sz w:val="28"/>
          <w:szCs w:val="28"/>
        </w:rPr>
        <w:t xml:space="preserve">The Solution</w:t>
      </w:r>
    </w:p>
    <w:p>
      <w:pPr>
        <w:spacing w:after="120"/>
      </w:pPr>
      <w:r>
        <w:rPr>
          <w:rFonts w:ascii="Arial" w:cs="Arial" w:eastAsia="Arial" w:hAnsi="Arial"/>
          <w:sz w:val="22"/>
          <w:szCs w:val="22"/>
        </w:rPr>
        <w:t xml:space="preserve">Spectra deploys 6 AI agents to analyze any repository across architecture, security, quality, documentation, and maintainability — in 90 seconds. A CritiqueAgent with extended thinking validates every finding, reducing false positives below 5%.</w:t>
      </w:r>
    </w:p>
    <w:p>
      <w:pPr>
        <w:pStyle w:val="Heading2"/>
        <w:spacing w:before="280" w:after="160"/>
      </w:pPr>
      <w:r>
        <w:rPr>
          <w:rFonts w:ascii="Arial" w:cs="Arial" w:eastAsia="Arial" w:hAnsi="Arial"/>
          <w:b/>
          <w:bCs/>
          <w:color w:val="1E293B"/>
          <w:sz w:val="28"/>
          <w:szCs w:val="28"/>
        </w:rPr>
        <w:t xml:space="preserve">The Opportunity</w:t>
      </w:r>
    </w:p>
    <w:p>
      <w:pPr>
        <w:spacing w:after="120"/>
      </w:pPr>
      <w:r>
        <w:rPr>
          <w:rFonts w:ascii="Arial" w:cs="Arial" w:eastAsia="Arial" w:hAnsi="Arial"/>
          <w:sz w:val="22"/>
          <w:szCs w:val="22"/>
        </w:rPr>
        <w:t xml:space="preserve">$2.4B SAM in AI-powered code analysis. No direct competitor offers multi-agent holistic analysis. Counter-positioned against incumbents who can't adopt AI without cannibalizing rule-based revenue.</w:t>
      </w:r>
    </w:p>
    <w:p>
      <w:pPr>
        <w:pStyle w:val="Heading2"/>
        <w:spacing w:before="280" w:after="160"/>
      </w:pPr>
      <w:r>
        <w:rPr>
          <w:rFonts w:ascii="Arial" w:cs="Arial" w:eastAsia="Arial" w:hAnsi="Arial"/>
          <w:b/>
          <w:bCs/>
          <w:color w:val="1E293B"/>
          <w:sz w:val="28"/>
          <w:szCs w:val="28"/>
        </w:rPr>
        <w:t xml:space="preserve">Traction</w:t>
      </w:r>
    </w:p>
    <w:p>
      <w:pPr>
        <w:spacing w:after="120"/>
      </w:pPr>
      <w:r>
        <w:rPr>
          <w:rFonts w:ascii="Arial" w:cs="Arial" w:eastAsia="Arial" w:hAnsi="Arial"/>
          <w:sz w:val="22"/>
          <w:szCs w:val="22"/>
        </w:rPr>
        <w:t xml:space="preserve">Working MVP with 6-agent pipeline. Built for Claude Hackathon ($50K prize). Founder: 25 years coding, ex-CRED (early engineer), Head of Engineering at Vance (YC W22, $93M raised), currently Head of Engineering at BYLD Wealth.</w:t>
      </w:r>
    </w:p>
    <w:p>
      <w:pPr>
        <w:pStyle w:val="Heading1"/>
        <w:spacing w:before="360" w:after="200"/>
      </w:pPr>
      <w:r>
        <w:rPr>
          <w:rFonts w:ascii="Arial" w:cs="Arial" w:eastAsia="Arial" w:hAnsi="Arial"/>
          <w:b/>
          <w:bCs/>
          <w:color w:val="7C3AED"/>
          <w:sz w:val="32"/>
          <w:szCs w:val="32"/>
        </w:rPr>
        <w:t xml:space="preserve">2. OKR Cascade</w:t>
      </w:r>
    </w:p>
    <w:p>
      <w:pPr>
        <w:pStyle w:val="Heading2"/>
        <w:spacing w:before="280" w:after="160"/>
      </w:pPr>
      <w:r>
        <w:rPr>
          <w:rFonts w:ascii="Arial" w:cs="Arial" w:eastAsia="Arial" w:hAnsi="Arial"/>
          <w:b/>
          <w:bCs/>
          <w:color w:val="1E293B"/>
          <w:sz w:val="28"/>
          <w:szCs w:val="28"/>
        </w:rPr>
        <w:t xml:space="preserve">Company OKRs → Q1 2026</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20"/>
        <w:gridCol w:w="3120"/>
        <w:gridCol w:w="3120"/>
      </w:tblGrid>
      <w:tr>
        <w:tc>
          <w:tcPr>
            <w:tcW w:type="dxa" w:w="3120"/>
            <w:tcBorders>
              <w:top w:val="single" w:color="D4D4D8" w:sz="1"/>
              <w:left w:val="single" w:color="D4D4D8" w:sz="1"/>
              <w:bottom w:val="single" w:color="D4D4D8" w:sz="1"/>
              <w:right w:val="single" w:color="D4D4D8" w:sz="1"/>
            </w:tcBorders>
            <w:shd w:fill="7C3AED" w:val="clear"/>
            <w:tcMar>
              <w:top w:type="dxa" w:w="80"/>
              <w:left w:type="dxa" w:w="120"/>
              <w:bottom w:type="dxa" w:w="80"/>
              <w:right w:type="dxa" w:w="120"/>
            </w:tcMar>
          </w:tcPr>
          <w:p>
            <w:r>
              <w:rPr>
                <w:rFonts w:ascii="Arial" w:cs="Arial" w:eastAsia="Arial" w:hAnsi="Arial"/>
                <w:b/>
                <w:bCs/>
                <w:color w:val="FFFFFF"/>
                <w:sz w:val="20"/>
                <w:szCs w:val="20"/>
              </w:rPr>
              <w:t xml:space="preserve">Level</w:t>
            </w:r>
          </w:p>
        </w:tc>
        <w:tc>
          <w:tcPr>
            <w:tcW w:type="dxa" w:w="3120"/>
            <w:tcBorders>
              <w:top w:val="single" w:color="D4D4D8" w:sz="1"/>
              <w:left w:val="single" w:color="D4D4D8" w:sz="1"/>
              <w:bottom w:val="single" w:color="D4D4D8" w:sz="1"/>
              <w:right w:val="single" w:color="D4D4D8" w:sz="1"/>
            </w:tcBorders>
            <w:shd w:fill="7C3AED" w:val="clear"/>
            <w:tcMar>
              <w:top w:type="dxa" w:w="80"/>
              <w:left w:type="dxa" w:w="120"/>
              <w:bottom w:type="dxa" w:w="80"/>
              <w:right w:type="dxa" w:w="120"/>
            </w:tcMar>
          </w:tcPr>
          <w:p>
            <w:r>
              <w:rPr>
                <w:rFonts w:ascii="Arial" w:cs="Arial" w:eastAsia="Arial" w:hAnsi="Arial"/>
                <w:b/>
                <w:bCs/>
                <w:color w:val="FFFFFF"/>
                <w:sz w:val="20"/>
                <w:szCs w:val="20"/>
              </w:rPr>
              <w:t xml:space="preserve">Objective</w:t>
            </w:r>
          </w:p>
        </w:tc>
        <w:tc>
          <w:tcPr>
            <w:tcW w:type="dxa" w:w="3120"/>
            <w:tcBorders>
              <w:top w:val="single" w:color="D4D4D8" w:sz="1"/>
              <w:left w:val="single" w:color="D4D4D8" w:sz="1"/>
              <w:bottom w:val="single" w:color="D4D4D8" w:sz="1"/>
              <w:right w:val="single" w:color="D4D4D8" w:sz="1"/>
            </w:tcBorders>
            <w:shd w:fill="7C3AED" w:val="clear"/>
            <w:tcMar>
              <w:top w:type="dxa" w:w="80"/>
              <w:left w:type="dxa" w:w="120"/>
              <w:bottom w:type="dxa" w:w="80"/>
              <w:right w:type="dxa" w:w="120"/>
            </w:tcMar>
          </w:tcPr>
          <w:p>
            <w:r>
              <w:rPr>
                <w:rFonts w:ascii="Arial" w:cs="Arial" w:eastAsia="Arial" w:hAnsi="Arial"/>
                <w:b/>
                <w:bCs/>
                <w:color w:val="FFFFFF"/>
                <w:sz w:val="20"/>
                <w:szCs w:val="20"/>
              </w:rPr>
              <w:t xml:space="preserve">Key Results</w:t>
            </w:r>
          </w:p>
        </w:tc>
      </w:tr>
      <w:tr>
        <w:tc>
          <w:tcPr>
            <w:tcW w:type="dxa" w:w="312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Company</w:t>
            </w:r>
          </w:p>
        </w:tc>
        <w:tc>
          <w:tcPr>
            <w:tcW w:type="dxa" w:w="312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Launch Spectra and prove market demand</w:t>
            </w:r>
          </w:p>
        </w:tc>
        <w:tc>
          <w:tcPr>
            <w:tcW w:type="dxa" w:w="312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500 analyses in 30 days, 20% W1 retention, NPS &gt;40</w:t>
            </w:r>
          </w:p>
        </w:tc>
      </w:tr>
      <w:tr>
        <w:tc>
          <w:tcPr>
            <w:tcW w:type="dxa" w:w="3120"/>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Product</w:t>
            </w:r>
          </w:p>
        </w:tc>
        <w:tc>
          <w:tcPr>
            <w:tcW w:type="dxa" w:w="3120"/>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Deliver reliable multi-agent analysis</w:t>
            </w:r>
          </w:p>
        </w:tc>
        <w:tc>
          <w:tcPr>
            <w:tcW w:type="dxa" w:w="3120"/>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&lt;90s avg, &lt;5% false positive, 80% test coverage</w:t>
            </w:r>
          </w:p>
        </w:tc>
      </w:tr>
      <w:tr>
        <w:tc>
          <w:tcPr>
            <w:tcW w:type="dxa" w:w="312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Growth</w:t>
            </w:r>
          </w:p>
        </w:tc>
        <w:tc>
          <w:tcPr>
            <w:tcW w:type="dxa" w:w="312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Build awareness in developer community</w:t>
            </w:r>
          </w:p>
        </w:tc>
        <w:tc>
          <w:tcPr>
            <w:tcW w:type="dxa" w:w="312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1,000 npm installs, 100 GitHub stars, 5 media mentions</w:t>
            </w:r>
          </w:p>
        </w:tc>
      </w:tr>
      <w:tr>
        <w:tc>
          <w:tcPr>
            <w:tcW w:type="dxa" w:w="3120"/>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Revenue</w:t>
            </w:r>
          </w:p>
        </w:tc>
        <w:tc>
          <w:tcPr>
            <w:tcW w:type="dxa" w:w="3120"/>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Validate willingness to pay</w:t>
            </w:r>
          </w:p>
        </w:tc>
        <w:tc>
          <w:tcPr>
            <w:tcW w:type="dxa" w:w="3120"/>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10 paid conversions, $490 MRR, 3 enterprise leads</w:t>
            </w:r>
          </w:p>
        </w:tc>
      </w:tr>
    </w:tbl>
    <w:p>
      <w:pPr>
        <w:pStyle w:val="Heading1"/>
        <w:spacing w:before="360" w:after="200"/>
      </w:pPr>
      <w:r>
        <w:rPr>
          <w:rFonts w:ascii="Arial" w:cs="Arial" w:eastAsia="Arial" w:hAnsi="Arial"/>
          <w:b/>
          <w:bCs/>
          <w:color w:val="7C3AED"/>
          <w:sz w:val="32"/>
          <w:szCs w:val="32"/>
        </w:rPr>
        <w:t xml:space="preserve">3. Hiring Plan</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340"/>
        <w:gridCol w:w="2340"/>
        <w:gridCol w:w="2340"/>
        <w:gridCol w:w="2340"/>
      </w:tblGrid>
      <w:tr>
        <w:tc>
          <w:tcPr>
            <w:tcW w:type="dxa" w:w="2340"/>
            <w:tcBorders>
              <w:top w:val="single" w:color="D4D4D8" w:sz="1"/>
              <w:left w:val="single" w:color="D4D4D8" w:sz="1"/>
              <w:bottom w:val="single" w:color="D4D4D8" w:sz="1"/>
              <w:right w:val="single" w:color="D4D4D8" w:sz="1"/>
            </w:tcBorders>
            <w:shd w:fill="7C3AED" w:val="clear"/>
            <w:tcMar>
              <w:top w:type="dxa" w:w="80"/>
              <w:left w:type="dxa" w:w="120"/>
              <w:bottom w:type="dxa" w:w="80"/>
              <w:right w:type="dxa" w:w="120"/>
            </w:tcMar>
          </w:tcPr>
          <w:p>
            <w:r>
              <w:rPr>
                <w:rFonts w:ascii="Arial" w:cs="Arial" w:eastAsia="Arial" w:hAnsi="Arial"/>
                <w:b/>
                <w:bCs/>
                <w:color w:val="FFFFFF"/>
                <w:sz w:val="20"/>
                <w:szCs w:val="20"/>
              </w:rPr>
              <w:t xml:space="preserve">Role</w:t>
            </w:r>
          </w:p>
        </w:tc>
        <w:tc>
          <w:tcPr>
            <w:tcW w:type="dxa" w:w="2340"/>
            <w:tcBorders>
              <w:top w:val="single" w:color="D4D4D8" w:sz="1"/>
              <w:left w:val="single" w:color="D4D4D8" w:sz="1"/>
              <w:bottom w:val="single" w:color="D4D4D8" w:sz="1"/>
              <w:right w:val="single" w:color="D4D4D8" w:sz="1"/>
            </w:tcBorders>
            <w:shd w:fill="7C3AED" w:val="clear"/>
            <w:tcMar>
              <w:top w:type="dxa" w:w="80"/>
              <w:left w:type="dxa" w:w="120"/>
              <w:bottom w:type="dxa" w:w="80"/>
              <w:right w:type="dxa" w:w="120"/>
            </w:tcMar>
          </w:tcPr>
          <w:p>
            <w:r>
              <w:rPr>
                <w:rFonts w:ascii="Arial" w:cs="Arial" w:eastAsia="Arial" w:hAnsi="Arial"/>
                <w:b/>
                <w:bCs/>
                <w:color w:val="FFFFFF"/>
                <w:sz w:val="20"/>
                <w:szCs w:val="20"/>
              </w:rPr>
              <w:t xml:space="preserve">When</w:t>
            </w:r>
          </w:p>
        </w:tc>
        <w:tc>
          <w:tcPr>
            <w:tcW w:type="dxa" w:w="2340"/>
            <w:tcBorders>
              <w:top w:val="single" w:color="D4D4D8" w:sz="1"/>
              <w:left w:val="single" w:color="D4D4D8" w:sz="1"/>
              <w:bottom w:val="single" w:color="D4D4D8" w:sz="1"/>
              <w:right w:val="single" w:color="D4D4D8" w:sz="1"/>
            </w:tcBorders>
            <w:shd w:fill="7C3AED" w:val="clear"/>
            <w:tcMar>
              <w:top w:type="dxa" w:w="80"/>
              <w:left w:type="dxa" w:w="120"/>
              <w:bottom w:type="dxa" w:w="80"/>
              <w:right w:type="dxa" w:w="120"/>
            </w:tcMar>
          </w:tcPr>
          <w:p>
            <w:r>
              <w:rPr>
                <w:rFonts w:ascii="Arial" w:cs="Arial" w:eastAsia="Arial" w:hAnsi="Arial"/>
                <w:b/>
                <w:bCs/>
                <w:color w:val="FFFFFF"/>
                <w:sz w:val="20"/>
                <w:szCs w:val="20"/>
              </w:rPr>
              <w:t xml:space="preserve">Why</w:t>
            </w:r>
          </w:p>
        </w:tc>
        <w:tc>
          <w:tcPr>
            <w:tcW w:type="dxa" w:w="2340"/>
            <w:tcBorders>
              <w:top w:val="single" w:color="D4D4D8" w:sz="1"/>
              <w:left w:val="single" w:color="D4D4D8" w:sz="1"/>
              <w:bottom w:val="single" w:color="D4D4D8" w:sz="1"/>
              <w:right w:val="single" w:color="D4D4D8" w:sz="1"/>
            </w:tcBorders>
            <w:shd w:fill="7C3AED" w:val="clear"/>
            <w:tcMar>
              <w:top w:type="dxa" w:w="80"/>
              <w:left w:type="dxa" w:w="120"/>
              <w:bottom w:type="dxa" w:w="80"/>
              <w:right w:type="dxa" w:w="120"/>
            </w:tcMar>
          </w:tcPr>
          <w:p>
            <w:r>
              <w:rPr>
                <w:rFonts w:ascii="Arial" w:cs="Arial" w:eastAsia="Arial" w:hAnsi="Arial"/>
                <w:b/>
                <w:bCs/>
                <w:color w:val="FFFFFF"/>
                <w:sz w:val="20"/>
                <w:szCs w:val="20"/>
              </w:rPr>
              <w:t xml:space="preserve">Est. Cost</w:t>
            </w:r>
          </w:p>
        </w:tc>
      </w:tr>
      <w:tr>
        <w:tc>
          <w:tcPr>
            <w:tcW w:type="dxa" w:w="234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Founding Engineer (Full-Stack)</w:t>
            </w:r>
          </w:p>
        </w:tc>
        <w:tc>
          <w:tcPr>
            <w:tcW w:type="dxa" w:w="234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Month 2</w:t>
            </w:r>
          </w:p>
        </w:tc>
        <w:tc>
          <w:tcPr>
            <w:tcW w:type="dxa" w:w="234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Build dashboard, CI/CD integrations</w:t>
            </w:r>
          </w:p>
        </w:tc>
        <w:tc>
          <w:tcPr>
            <w:tcW w:type="dxa" w:w="234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$180K/yr</w:t>
            </w:r>
          </w:p>
        </w:tc>
      </w:tr>
      <w:tr>
        <w:tc>
          <w:tcPr>
            <w:tcW w:type="dxa" w:w="2340"/>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DevRel / Growth</w:t>
            </w:r>
          </w:p>
        </w:tc>
        <w:tc>
          <w:tcPr>
            <w:tcW w:type="dxa" w:w="2340"/>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Month 4</w:t>
            </w:r>
          </w:p>
        </w:tc>
        <w:tc>
          <w:tcPr>
            <w:tcW w:type="dxa" w:w="2340"/>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Content engine, community building, launches</w:t>
            </w:r>
          </w:p>
        </w:tc>
        <w:tc>
          <w:tcPr>
            <w:tcW w:type="dxa" w:w="2340"/>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$140K/yr</w:t>
            </w:r>
          </w:p>
        </w:tc>
      </w:tr>
      <w:tr>
        <w:tc>
          <w:tcPr>
            <w:tcW w:type="dxa" w:w="234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AI/ML Engineer</w:t>
            </w:r>
          </w:p>
        </w:tc>
        <w:tc>
          <w:tcPr>
            <w:tcW w:type="dxa" w:w="234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Month 6</w:t>
            </w:r>
          </w:p>
        </w:tc>
        <w:tc>
          <w:tcPr>
            <w:tcW w:type="dxa" w:w="234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Prompt optimization, model fine-tuning, eval harness</w:t>
            </w:r>
          </w:p>
        </w:tc>
        <w:tc>
          <w:tcPr>
            <w:tcW w:type="dxa" w:w="234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$200K/yr</w:t>
            </w:r>
          </w:p>
        </w:tc>
      </w:tr>
      <w:tr>
        <w:tc>
          <w:tcPr>
            <w:tcW w:type="dxa" w:w="2340"/>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Designer</w:t>
            </w:r>
          </w:p>
        </w:tc>
        <w:tc>
          <w:tcPr>
            <w:tcW w:type="dxa" w:w="2340"/>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Month 8</w:t>
            </w:r>
          </w:p>
        </w:tc>
        <w:tc>
          <w:tcPr>
            <w:tcW w:type="dxa" w:w="2340"/>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Report templates, dashboard UX, brand assets</w:t>
            </w:r>
          </w:p>
        </w:tc>
        <w:tc>
          <w:tcPr>
            <w:tcW w:type="dxa" w:w="2340"/>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$150K/yr</w:t>
            </w:r>
          </w:p>
        </w:tc>
      </w:tr>
      <w:tr>
        <w:tc>
          <w:tcPr>
            <w:tcW w:type="dxa" w:w="234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Enterprise Sales</w:t>
            </w:r>
          </w:p>
        </w:tc>
        <w:tc>
          <w:tcPr>
            <w:tcW w:type="dxa" w:w="234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Month 12</w:t>
            </w:r>
          </w:p>
        </w:tc>
        <w:tc>
          <w:tcPr>
            <w:tcW w:type="dxa" w:w="234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Outbound to PE/VC DD teams, enterprise accounts</w:t>
            </w:r>
          </w:p>
        </w:tc>
        <w:tc>
          <w:tcPr>
            <w:tcW w:type="dxa" w:w="234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$120K + commission</w:t>
            </w:r>
          </w:p>
        </w:tc>
      </w:tr>
    </w:tbl>
    <w:p>
      <w:pPr>
        <w:pStyle w:val="Heading1"/>
        <w:spacing w:before="360" w:after="200"/>
      </w:pPr>
      <w:r>
        <w:rPr>
          <w:rFonts w:ascii="Arial" w:cs="Arial" w:eastAsia="Arial" w:hAnsi="Arial"/>
          <w:b/>
          <w:bCs/>
          <w:color w:val="7C3AED"/>
          <w:sz w:val="32"/>
          <w:szCs w:val="32"/>
        </w:rPr>
        <w:t xml:space="preserve">4. 18-Month Budget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872"/>
        <w:gridCol w:w="1872"/>
        <w:gridCol w:w="1872"/>
        <w:gridCol w:w="1872"/>
        <w:gridCol w:w="1872"/>
      </w:tblGrid>
      <w:tr>
        <w:tc>
          <w:tcPr>
            <w:tcW w:type="dxa" w:w="1872"/>
            <w:tcBorders>
              <w:top w:val="single" w:color="D4D4D8" w:sz="1"/>
              <w:left w:val="single" w:color="D4D4D8" w:sz="1"/>
              <w:bottom w:val="single" w:color="D4D4D8" w:sz="1"/>
              <w:right w:val="single" w:color="D4D4D8" w:sz="1"/>
            </w:tcBorders>
            <w:shd w:fill="7C3AED" w:val="clear"/>
            <w:tcMar>
              <w:top w:type="dxa" w:w="80"/>
              <w:left w:type="dxa" w:w="120"/>
              <w:bottom w:type="dxa" w:w="80"/>
              <w:right w:type="dxa" w:w="120"/>
            </w:tcMar>
          </w:tcPr>
          <w:p>
            <w:r>
              <w:rPr>
                <w:rFonts w:ascii="Arial" w:cs="Arial" w:eastAsia="Arial" w:hAnsi="Arial"/>
                <w:b/>
                <w:bCs/>
                <w:color w:val="FFFFFF"/>
                <w:sz w:val="20"/>
                <w:szCs w:val="20"/>
              </w:rPr>
              <w:t xml:space="preserve">Category</w:t>
            </w:r>
          </w:p>
        </w:tc>
        <w:tc>
          <w:tcPr>
            <w:tcW w:type="dxa" w:w="1872"/>
            <w:tcBorders>
              <w:top w:val="single" w:color="D4D4D8" w:sz="1"/>
              <w:left w:val="single" w:color="D4D4D8" w:sz="1"/>
              <w:bottom w:val="single" w:color="D4D4D8" w:sz="1"/>
              <w:right w:val="single" w:color="D4D4D8" w:sz="1"/>
            </w:tcBorders>
            <w:shd w:fill="7C3AED" w:val="clear"/>
            <w:tcMar>
              <w:top w:type="dxa" w:w="80"/>
              <w:left w:type="dxa" w:w="120"/>
              <w:bottom w:type="dxa" w:w="80"/>
              <w:right w:type="dxa" w:w="120"/>
            </w:tcMar>
          </w:tcPr>
          <w:p>
            <w:r>
              <w:rPr>
                <w:rFonts w:ascii="Arial" w:cs="Arial" w:eastAsia="Arial" w:hAnsi="Arial"/>
                <w:b/>
                <w:bCs/>
                <w:color w:val="FFFFFF"/>
                <w:sz w:val="20"/>
                <w:szCs w:val="20"/>
              </w:rPr>
              <w:t xml:space="preserve">Month 1-6</w:t>
            </w:r>
          </w:p>
        </w:tc>
        <w:tc>
          <w:tcPr>
            <w:tcW w:type="dxa" w:w="1872"/>
            <w:tcBorders>
              <w:top w:val="single" w:color="D4D4D8" w:sz="1"/>
              <w:left w:val="single" w:color="D4D4D8" w:sz="1"/>
              <w:bottom w:val="single" w:color="D4D4D8" w:sz="1"/>
              <w:right w:val="single" w:color="D4D4D8" w:sz="1"/>
            </w:tcBorders>
            <w:shd w:fill="7C3AED" w:val="clear"/>
            <w:tcMar>
              <w:top w:type="dxa" w:w="80"/>
              <w:left w:type="dxa" w:w="120"/>
              <w:bottom w:type="dxa" w:w="80"/>
              <w:right w:type="dxa" w:w="120"/>
            </w:tcMar>
          </w:tcPr>
          <w:p>
            <w:r>
              <w:rPr>
                <w:rFonts w:ascii="Arial" w:cs="Arial" w:eastAsia="Arial" w:hAnsi="Arial"/>
                <w:b/>
                <w:bCs/>
                <w:color w:val="FFFFFF"/>
                <w:sz w:val="20"/>
                <w:szCs w:val="20"/>
              </w:rPr>
              <w:t xml:space="preserve">Month 7-12</w:t>
            </w:r>
          </w:p>
        </w:tc>
        <w:tc>
          <w:tcPr>
            <w:tcW w:type="dxa" w:w="1872"/>
            <w:tcBorders>
              <w:top w:val="single" w:color="D4D4D8" w:sz="1"/>
              <w:left w:val="single" w:color="D4D4D8" w:sz="1"/>
              <w:bottom w:val="single" w:color="D4D4D8" w:sz="1"/>
              <w:right w:val="single" w:color="D4D4D8" w:sz="1"/>
            </w:tcBorders>
            <w:shd w:fill="7C3AED" w:val="clear"/>
            <w:tcMar>
              <w:top w:type="dxa" w:w="80"/>
              <w:left w:type="dxa" w:w="120"/>
              <w:bottom w:type="dxa" w:w="80"/>
              <w:right w:type="dxa" w:w="120"/>
            </w:tcMar>
          </w:tcPr>
          <w:p>
            <w:r>
              <w:rPr>
                <w:rFonts w:ascii="Arial" w:cs="Arial" w:eastAsia="Arial" w:hAnsi="Arial"/>
                <w:b/>
                <w:bCs/>
                <w:color w:val="FFFFFF"/>
                <w:sz w:val="20"/>
                <w:szCs w:val="20"/>
              </w:rPr>
              <w:t xml:space="preserve">Month 13-18</w:t>
            </w:r>
          </w:p>
        </w:tc>
        <w:tc>
          <w:tcPr>
            <w:tcW w:type="dxa" w:w="1872"/>
            <w:tcBorders>
              <w:top w:val="single" w:color="D4D4D8" w:sz="1"/>
              <w:left w:val="single" w:color="D4D4D8" w:sz="1"/>
              <w:bottom w:val="single" w:color="D4D4D8" w:sz="1"/>
              <w:right w:val="single" w:color="D4D4D8" w:sz="1"/>
            </w:tcBorders>
            <w:shd w:fill="7C3AED" w:val="clear"/>
            <w:tcMar>
              <w:top w:type="dxa" w:w="80"/>
              <w:left w:type="dxa" w:w="120"/>
              <w:bottom w:type="dxa" w:w="80"/>
              <w:right w:type="dxa" w:w="120"/>
            </w:tcMar>
          </w:tcPr>
          <w:p>
            <w:r>
              <w:rPr>
                <w:rFonts w:ascii="Arial" w:cs="Arial" w:eastAsia="Arial" w:hAnsi="Arial"/>
                <w:b/>
                <w:bCs/>
                <w:color w:val="FFFFFF"/>
                <w:sz w:val="20"/>
                <w:szCs w:val="20"/>
              </w:rPr>
              <w:t xml:space="preserve">Total</w:t>
            </w:r>
          </w:p>
        </w:tc>
      </w:tr>
      <w:tr>
        <w:tc>
          <w:tcPr>
            <w:tcW w:type="dxa" w:w="1872"/>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LLM API costs</w:t>
            </w:r>
          </w:p>
        </w:tc>
        <w:tc>
          <w:tcPr>
            <w:tcW w:type="dxa" w:w="1872"/>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$5,000</w:t>
            </w:r>
          </w:p>
        </w:tc>
        <w:tc>
          <w:tcPr>
            <w:tcW w:type="dxa" w:w="1872"/>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$25,000</w:t>
            </w:r>
          </w:p>
        </w:tc>
        <w:tc>
          <w:tcPr>
            <w:tcW w:type="dxa" w:w="1872"/>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$60,000</w:t>
            </w:r>
          </w:p>
        </w:tc>
        <w:tc>
          <w:tcPr>
            <w:tcW w:type="dxa" w:w="1872"/>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$90,000</w:t>
            </w:r>
          </w:p>
        </w:tc>
      </w:tr>
      <w:tr>
        <w:tc>
          <w:tcPr>
            <w:tcW w:type="dxa" w:w="1872"/>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Infrastructure (AWS/Vercel)</w:t>
            </w:r>
          </w:p>
        </w:tc>
        <w:tc>
          <w:tcPr>
            <w:tcW w:type="dxa" w:w="1872"/>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$500</w:t>
            </w:r>
          </w:p>
        </w:tc>
        <w:tc>
          <w:tcPr>
            <w:tcW w:type="dxa" w:w="1872"/>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$2,000</w:t>
            </w:r>
          </w:p>
        </w:tc>
        <w:tc>
          <w:tcPr>
            <w:tcW w:type="dxa" w:w="1872"/>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$5,000</w:t>
            </w:r>
          </w:p>
        </w:tc>
        <w:tc>
          <w:tcPr>
            <w:tcW w:type="dxa" w:w="1872"/>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$7,500</w:t>
            </w:r>
          </w:p>
        </w:tc>
      </w:tr>
      <w:tr>
        <w:tc>
          <w:tcPr>
            <w:tcW w:type="dxa" w:w="1872"/>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Salaries (incl. founder)</w:t>
            </w:r>
          </w:p>
        </w:tc>
        <w:tc>
          <w:tcPr>
            <w:tcW w:type="dxa" w:w="1872"/>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$0</w:t>
            </w:r>
          </w:p>
        </w:tc>
        <w:tc>
          <w:tcPr>
            <w:tcW w:type="dxa" w:w="1872"/>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$180,000</w:t>
            </w:r>
          </w:p>
        </w:tc>
        <w:tc>
          <w:tcPr>
            <w:tcW w:type="dxa" w:w="1872"/>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$540,000</w:t>
            </w:r>
          </w:p>
        </w:tc>
        <w:tc>
          <w:tcPr>
            <w:tcW w:type="dxa" w:w="1872"/>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$720,000</w:t>
            </w:r>
          </w:p>
        </w:tc>
      </w:tr>
      <w:tr>
        <w:tc>
          <w:tcPr>
            <w:tcW w:type="dxa" w:w="1872"/>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Marketing/DevRel</w:t>
            </w:r>
          </w:p>
        </w:tc>
        <w:tc>
          <w:tcPr>
            <w:tcW w:type="dxa" w:w="1872"/>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$2,000</w:t>
            </w:r>
          </w:p>
        </w:tc>
        <w:tc>
          <w:tcPr>
            <w:tcW w:type="dxa" w:w="1872"/>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$10,000</w:t>
            </w:r>
          </w:p>
        </w:tc>
        <w:tc>
          <w:tcPr>
            <w:tcW w:type="dxa" w:w="1872"/>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$25,000</w:t>
            </w:r>
          </w:p>
        </w:tc>
        <w:tc>
          <w:tcPr>
            <w:tcW w:type="dxa" w:w="1872"/>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$37,000</w:t>
            </w:r>
          </w:p>
        </w:tc>
      </w:tr>
      <w:tr>
        <w:tc>
          <w:tcPr>
            <w:tcW w:type="dxa" w:w="1872"/>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Tools/Services</w:t>
            </w:r>
          </w:p>
        </w:tc>
        <w:tc>
          <w:tcPr>
            <w:tcW w:type="dxa" w:w="1872"/>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$500</w:t>
            </w:r>
          </w:p>
        </w:tc>
        <w:tc>
          <w:tcPr>
            <w:tcW w:type="dxa" w:w="1872"/>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$2,000</w:t>
            </w:r>
          </w:p>
        </w:tc>
        <w:tc>
          <w:tcPr>
            <w:tcW w:type="dxa" w:w="1872"/>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$5,000</w:t>
            </w:r>
          </w:p>
        </w:tc>
        <w:tc>
          <w:tcPr>
            <w:tcW w:type="dxa" w:w="1872"/>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$7,500</w:t>
            </w:r>
          </w:p>
        </w:tc>
      </w:tr>
      <w:tr>
        <w:tc>
          <w:tcPr>
            <w:tcW w:type="dxa" w:w="1872"/>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Legal/Compliance</w:t>
            </w:r>
          </w:p>
        </w:tc>
        <w:tc>
          <w:tcPr>
            <w:tcW w:type="dxa" w:w="1872"/>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$2,000</w:t>
            </w:r>
          </w:p>
        </w:tc>
        <w:tc>
          <w:tcPr>
            <w:tcW w:type="dxa" w:w="1872"/>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$5,000</w:t>
            </w:r>
          </w:p>
        </w:tc>
        <w:tc>
          <w:tcPr>
            <w:tcW w:type="dxa" w:w="1872"/>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$10,000</w:t>
            </w:r>
          </w:p>
        </w:tc>
        <w:tc>
          <w:tcPr>
            <w:tcW w:type="dxa" w:w="1872"/>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$17,000</w:t>
            </w:r>
          </w:p>
        </w:tc>
      </w:tr>
      <w:tr>
        <w:tc>
          <w:tcPr>
            <w:tcW w:type="dxa" w:w="1872"/>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Buffer (15%)</w:t>
            </w:r>
          </w:p>
        </w:tc>
        <w:tc>
          <w:tcPr>
            <w:tcW w:type="dxa" w:w="1872"/>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$1,500</w:t>
            </w:r>
          </w:p>
        </w:tc>
        <w:tc>
          <w:tcPr>
            <w:tcW w:type="dxa" w:w="1872"/>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$33,600</w:t>
            </w:r>
          </w:p>
        </w:tc>
        <w:tc>
          <w:tcPr>
            <w:tcW w:type="dxa" w:w="1872"/>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$96,750</w:t>
            </w:r>
          </w:p>
        </w:tc>
        <w:tc>
          <w:tcPr>
            <w:tcW w:type="dxa" w:w="1872"/>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$131,850</w:t>
            </w:r>
          </w:p>
        </w:tc>
      </w:tr>
      <w:tr>
        <w:tc>
          <w:tcPr>
            <w:tcW w:type="dxa" w:w="1872"/>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TOTAL</w:t>
            </w:r>
          </w:p>
        </w:tc>
        <w:tc>
          <w:tcPr>
            <w:tcW w:type="dxa" w:w="1872"/>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$11,500</w:t>
            </w:r>
          </w:p>
        </w:tc>
        <w:tc>
          <w:tcPr>
            <w:tcW w:type="dxa" w:w="1872"/>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$257,600</w:t>
            </w:r>
          </w:p>
        </w:tc>
        <w:tc>
          <w:tcPr>
            <w:tcW w:type="dxa" w:w="1872"/>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$741,750</w:t>
            </w:r>
          </w:p>
        </w:tc>
        <w:tc>
          <w:tcPr>
            <w:tcW w:type="dxa" w:w="1872"/>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$1,010,850</w:t>
            </w:r>
          </w:p>
        </w:tc>
      </w:tr>
    </w:tbl>
    <w:p>
      <w:pPr>
        <w:pStyle w:val="Heading1"/>
        <w:spacing w:before="360" w:after="200"/>
      </w:pPr>
      <w:r>
        <w:rPr>
          <w:rFonts w:ascii="Arial" w:cs="Arial" w:eastAsia="Arial" w:hAnsi="Arial"/>
          <w:b/>
          <w:bCs/>
          <w:color w:val="7C3AED"/>
          <w:sz w:val="32"/>
          <w:szCs w:val="32"/>
        </w:rPr>
        <w:t xml:space="preserve">5. Investor FAQ</w:t>
      </w:r>
    </w:p>
    <w:p>
      <w:pPr>
        <w:pStyle w:val="Heading2"/>
        <w:spacing w:before="280" w:after="160"/>
      </w:pPr>
      <w:r>
        <w:rPr>
          <w:rFonts w:ascii="Arial" w:cs="Arial" w:eastAsia="Arial" w:hAnsi="Arial"/>
          <w:b/>
          <w:bCs/>
          <w:color w:val="1E293B"/>
          <w:sz w:val="28"/>
          <w:szCs w:val="28"/>
        </w:rPr>
        <w:t xml:space="preserve">Q: Why can't incumbents add AI?</w:t>
      </w:r>
    </w:p>
    <w:p>
      <w:pPr>
        <w:spacing w:after="120"/>
      </w:pPr>
      <w:r>
        <w:rPr>
          <w:rFonts w:ascii="Arial" w:cs="Arial" w:eastAsia="Arial" w:hAnsi="Arial"/>
          <w:sz w:val="22"/>
          <w:szCs w:val="22"/>
        </w:rPr>
        <w:t xml:space="preserve">Counter-positioning: SonarQube's moat is 1,000+ hand-crafted rules. Adding AI analysis undermines their core value proposition and confuses enterprise buyers. Snyk is security-only — expanding to architecture/quality dilutes their brand.</w:t>
      </w:r>
    </w:p>
    <w:p>
      <w:pPr>
        <w:pStyle w:val="Heading2"/>
        <w:spacing w:before="280" w:after="160"/>
      </w:pPr>
      <w:r>
        <w:rPr>
          <w:rFonts w:ascii="Arial" w:cs="Arial" w:eastAsia="Arial" w:hAnsi="Arial"/>
          <w:b/>
          <w:bCs/>
          <w:color w:val="1E293B"/>
          <w:sz w:val="28"/>
          <w:szCs w:val="28"/>
        </w:rPr>
        <w:t xml:space="preserve">Q: What's the moat?</w:t>
      </w:r>
    </w:p>
    <w:p>
      <w:pPr>
        <w:spacing w:after="120"/>
      </w:pPr>
      <w:r>
        <w:rPr>
          <w:rFonts w:ascii="Arial" w:cs="Arial" w:eastAsia="Arial" w:hAnsi="Arial"/>
          <w:sz w:val="22"/>
          <w:szCs w:val="22"/>
        </w:rPr>
        <w:t xml:space="preserve">Layered: (1) Proprietary prompt IP and meta-prompting patterns, (2) golden file test suites, (3) aggregate scoring data creating industry benchmarks, (4) brand recognition ("Spectra Score"), (5) enterprise switching costs.</w:t>
      </w:r>
    </w:p>
    <w:p>
      <w:pPr>
        <w:pStyle w:val="Heading2"/>
        <w:spacing w:before="280" w:after="160"/>
      </w:pPr>
      <w:r>
        <w:rPr>
          <w:rFonts w:ascii="Arial" w:cs="Arial" w:eastAsia="Arial" w:hAnsi="Arial"/>
          <w:b/>
          <w:bCs/>
          <w:color w:val="1E293B"/>
          <w:sz w:val="28"/>
          <w:szCs w:val="28"/>
        </w:rPr>
        <w:t xml:space="preserve">Q: How do you handle LLM costs?</w:t>
      </w:r>
    </w:p>
    <w:p>
      <w:pPr>
        <w:spacing w:after="120"/>
      </w:pPr>
      <w:r>
        <w:rPr>
          <w:rFonts w:ascii="Arial" w:cs="Arial" w:eastAsia="Arial" w:hAnsi="Arial"/>
          <w:sz w:val="22"/>
          <w:szCs w:val="22"/>
        </w:rPr>
        <w:t xml:space="preserve">Current COGS: $22.50/run with Opus. Path to $1.50/run through hybrid models (Sonnet for specialists), prompt caching (40% hit rate), token optimization, and LLM price reductions (10x expected over 24 months).</w:t>
      </w:r>
    </w:p>
    <w:p>
      <w:pPr>
        <w:pStyle w:val="Heading2"/>
        <w:spacing w:before="280" w:after="160"/>
      </w:pPr>
      <w:r>
        <w:rPr>
          <w:rFonts w:ascii="Arial" w:cs="Arial" w:eastAsia="Arial" w:hAnsi="Arial"/>
          <w:b/>
          <w:bCs/>
          <w:color w:val="1E293B"/>
          <w:sz w:val="28"/>
          <w:szCs w:val="28"/>
        </w:rPr>
        <w:t xml:space="preserve">Q: What if someone builds this with open-source models?</w:t>
      </w:r>
    </w:p>
    <w:p>
      <w:pPr>
        <w:spacing w:after="120"/>
      </w:pPr>
      <w:r>
        <w:rPr>
          <w:rFonts w:ascii="Arial" w:cs="Arial" w:eastAsia="Arial" w:hAnsi="Arial"/>
          <w:sz w:val="22"/>
          <w:szCs w:val="22"/>
        </w:rPr>
        <w:t xml:space="preserve">Open-source models lack the context window (1M tokens) and reasoning depth needed for holistic repo analysis. By the time they catch up, we'll have proprietary data (benchmarks), enterprise relationships, and brand recognition.</w:t>
      </w:r>
    </w:p>
    <w:p>
      <w:pPr>
        <w:pStyle w:val="Heading2"/>
        <w:spacing w:before="280" w:after="160"/>
      </w:pPr>
      <w:r>
        <w:rPr>
          <w:rFonts w:ascii="Arial" w:cs="Arial" w:eastAsia="Arial" w:hAnsi="Arial"/>
          <w:b/>
          <w:bCs/>
          <w:color w:val="1E293B"/>
          <w:sz w:val="28"/>
          <w:szCs w:val="28"/>
        </w:rPr>
        <w:t xml:space="preserve">Q: Why is Vivek the right founder?</w:t>
      </w:r>
    </w:p>
    <w:p>
      <w:pPr>
        <w:spacing w:after="120"/>
      </w:pPr>
      <w:r>
        <w:rPr>
          <w:rFonts w:ascii="Arial" w:cs="Arial" w:eastAsia="Arial" w:hAnsi="Arial"/>
          <w:sz w:val="22"/>
          <w:szCs w:val="22"/>
        </w:rPr>
        <w:t xml:space="preserve">25 years coding (since age 5). Built CRED's core platform systems (CCBP, payments, fulfillment). Coded Vance's entire backend in 72 hours, scaled to 100+ Cr GMV across 92+ dark stores. NIT Jalandhar 3rd rank, 99.94 percentile CSE. Currently Head of Engineering at BYLD Wealth. Deep fintech + AI + developer tools expertise.</w:t>
      </w:r>
    </w:p>
    <w:p>
      <w:pPr>
        <w:pStyle w:val="Heading1"/>
        <w:spacing w:before="360" w:after="200"/>
      </w:pPr>
      <w:r>
        <w:rPr>
          <w:rFonts w:ascii="Arial" w:cs="Arial" w:eastAsia="Arial" w:hAnsi="Arial"/>
          <w:b/>
          <w:bCs/>
          <w:color w:val="7C3AED"/>
          <w:sz w:val="32"/>
          <w:szCs w:val="32"/>
        </w:rPr>
        <w:t xml:space="preserve">6. Operating Principles</w:t>
      </w:r>
    </w:p>
    <w:p>
      <w:pPr>
        <w:pStyle w:val="ListParagraph"/>
        <w:numPr>
          <w:ilvl w:val="0"/>
          <w:numId w:val="2"/>
        </w:numPr>
        <w:spacing w:after="80"/>
      </w:pPr>
      <w:r>
        <w:rPr>
          <w:rFonts w:ascii="Arial" w:cs="Arial" w:eastAsia="Arial" w:hAnsi="Arial"/>
          <w:sz w:val="22"/>
          <w:szCs w:val="22"/>
        </w:rPr>
        <w:t xml:space="preserve">Ship fast, learn faster — weekly release cycles</w:t>
      </w:r>
    </w:p>
    <w:p>
      <w:pPr>
        <w:pStyle w:val="ListParagraph"/>
        <w:numPr>
          <w:ilvl w:val="0"/>
          <w:numId w:val="2"/>
        </w:numPr>
        <w:spacing w:after="80"/>
      </w:pPr>
      <w:r>
        <w:rPr>
          <w:rFonts w:ascii="Arial" w:cs="Arial" w:eastAsia="Arial" w:hAnsi="Arial"/>
          <w:sz w:val="22"/>
          <w:szCs w:val="22"/>
        </w:rPr>
        <w:t xml:space="preserve">Quality is non-negotiable — Clean Architecture, 80%+ coverage, golden files</w:t>
      </w:r>
    </w:p>
    <w:p>
      <w:pPr>
        <w:pStyle w:val="ListParagraph"/>
        <w:numPr>
          <w:ilvl w:val="0"/>
          <w:numId w:val="2"/>
        </w:numPr>
        <w:spacing w:after="80"/>
      </w:pPr>
      <w:r>
        <w:rPr>
          <w:rFonts w:ascii="Arial" w:cs="Arial" w:eastAsia="Arial" w:hAnsi="Arial"/>
          <w:sz w:val="22"/>
          <w:szCs w:val="22"/>
        </w:rPr>
        <w:t xml:space="preserve">Data-informed — every feature decision backed by metrics</w:t>
      </w:r>
    </w:p>
    <w:p>
      <w:pPr>
        <w:pStyle w:val="ListParagraph"/>
        <w:numPr>
          <w:ilvl w:val="0"/>
          <w:numId w:val="2"/>
        </w:numPr>
        <w:spacing w:after="80"/>
      </w:pPr>
      <w:r>
        <w:rPr>
          <w:rFonts w:ascii="Arial" w:cs="Arial" w:eastAsia="Arial" w:hAnsi="Arial"/>
          <w:sz w:val="22"/>
          <w:szCs w:val="22"/>
        </w:rPr>
        <w:t xml:space="preserve">Community first — open-source CLI, transparent scoring methodology</w:t>
      </w:r>
    </w:p>
    <w:p>
      <w:pPr>
        <w:pStyle w:val="ListParagraph"/>
        <w:numPr>
          <w:ilvl w:val="0"/>
          <w:numId w:val="2"/>
        </w:numPr>
        <w:spacing w:after="80"/>
      </w:pPr>
      <w:r>
        <w:rPr>
          <w:rFonts w:ascii="Arial" w:cs="Arial" w:eastAsia="Arial" w:hAnsi="Arial"/>
          <w:sz w:val="22"/>
          <w:szCs w:val="22"/>
        </w:rPr>
        <w:t xml:space="preserve">Capital efficient — AI-native, small team, high leverage</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abstractNum w:abstractNumId="3" w15:restartNumberingAfterBreak="0">
    <w:multiLevelType w:val="hybridMultilevel"/>
    <w:lvl w:ilvl="0" w15:tentative="1">
      <w:start w:val="1"/>
      <w:numFmt w:val="decimal"/>
      <w:lvlText w:val="%1."/>
      <w:lvlJc w:val="left"/>
      <w:pPr>
        <w:ind w:left="720" w:hanging="360"/>
      </w:pPr>
    </w:lvl>
  </w:abstractNum>
  <w:num w:numId="1">
    <w:abstractNumId w:val="1"/>
    <w:lvlOverride w:ilvl="0">
      <w:startOverride w:val="1"/>
    </w:lvlOverride>
  </w:num>
  <w:num w:numId="2">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paragraph" w:styleId="Heading1">
    <w:name w:val="Heading 1"/>
    <w:basedOn w:val="Normal"/>
    <w:next w:val="Normal"/>
    <w:qFormat/>
    <w:pPr>
      <w:spacing w:before="360" w:after="200"/>
      <w:outlineLvl w:val="0"/>
    </w:pPr>
    <w:rPr>
      <w:rFonts w:ascii="Arial" w:cs="Arial" w:eastAsia="Arial" w:hAnsi="Arial"/>
      <w:b/>
      <w:bCs/>
      <w:color w:val="7C3AED"/>
      <w:sz w:val="32"/>
      <w:szCs w:val="32"/>
    </w:rPr>
  </w:style>
  <w:style w:type="paragraph" w:styleId="Heading2">
    <w:name w:val="Heading 2"/>
    <w:basedOn w:val="Normal"/>
    <w:next w:val="Normal"/>
    <w:qFormat/>
    <w:pPr>
      <w:spacing w:before="280" w:after="160"/>
      <w:outlineLvl w:val="1"/>
    </w:pPr>
    <w:rPr>
      <w:rFonts w:ascii="Arial" w:cs="Arial" w:eastAsia="Arial" w:hAnsi="Arial"/>
      <w:b/>
      <w:bCs/>
      <w:color w:val="1E293B"/>
      <w:sz w:val="28"/>
      <w:szCs w:val="28"/>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2026-02-13T20:44:17.362Z</dcterms:created>
  <dcterms:modified xsi:type="dcterms:W3CDTF">2026-02-13T20:44:17.362Z</dcterms:modified>
</cp:coreProperties>
</file>

<file path=docProps/custom.xml><?xml version="1.0" encoding="utf-8"?>
<Properties xmlns="http://schemas.openxmlformats.org/officeDocument/2006/custom-properties" xmlns:vt="http://schemas.openxmlformats.org/officeDocument/2006/docPropsVTypes"/>
</file>