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3000"/>
      </w:pPr>
    </w:p>
    <w:p>
      <w:pPr>
        <w:spacing w:after="200"/>
        <w:jc w:val="center"/>
      </w:pPr>
      <w:r>
        <w:rPr>
          <w:rFonts w:ascii="Arial" w:cs="Arial" w:eastAsia="Arial" w:hAnsi="Arial"/>
          <w:b/>
          <w:bCs/>
          <w:color w:val="7C3AED"/>
          <w:sz w:val="56"/>
          <w:szCs w:val="56"/>
        </w:rPr>
        <w:t xml:space="preserve">SPECTRA</w:t>
      </w:r>
    </w:p>
    <w:p>
      <w:pPr>
        <w:spacing w:after="100"/>
        <w:jc w:val="center"/>
      </w:pPr>
      <w:r>
        <w:rPr>
          <w:rFonts w:ascii="Arial" w:cs="Arial" w:eastAsia="Arial" w:hAnsi="Arial"/>
          <w:i/>
          <w:iCs/>
          <w:color w:val="F59E0B"/>
          <w:sz w:val="24"/>
          <w:szCs w:val="24"/>
        </w:rPr>
        <w:t xml:space="preserve">The full spectrum of your codebase.</w:t>
      </w:r>
    </w:p>
    <w:p>
      <w:pPr>
        <w:spacing w:before="600"/>
      </w:pPr>
    </w:p>
    <w:p>
      <w:pPr>
        <w:pBdr>
          <w:bottom w:val="single" w:color="7C3AED" w:sz="2"/>
        </w:pBdr>
        <w:spacing w:after="100"/>
        <w:jc w:val="center"/>
      </w:pPr>
      <w:r>
        <w:rPr>
          <w:rFonts w:ascii="Arial" w:cs="Arial" w:eastAsia="Arial" w:hAnsi="Arial"/>
          <w:b/>
          <w:bCs/>
          <w:color w:val="1E293B"/>
          <w:sz w:val="36"/>
          <w:szCs w:val="36"/>
        </w:rPr>
        <w:t xml:space="preserve">Founder Office &amp; C-Suite Pack</w:t>
      </w:r>
    </w:p>
    <w:p>
      <w:pPr>
        <w:spacing w:after="400"/>
        <w:jc w:val="center"/>
      </w:pPr>
      <w:r>
        <w:rPr>
          <w:rFonts w:ascii="Arial" w:cs="Arial" w:eastAsia="Arial" w:hAnsi="Arial"/>
          <w:color w:val="6B7280"/>
          <w:sz w:val="22"/>
          <w:szCs w:val="22"/>
        </w:rPr>
        <w:t xml:space="preserve">Sequoia Narrative Arc • Unit Economics • Default Alive/Dead • ADR Format • Risk Register • Fundraising SAFE Math</w:t>
      </w:r>
    </w:p>
    <w:p>
      <w:pPr>
        <w:spacing w:after="100"/>
        <w:jc w:val="center"/>
      </w:pPr>
      <w:r>
        <w:rPr>
          <w:rFonts w:ascii="Arial" w:cs="Arial" w:eastAsia="Arial" w:hAnsi="Arial"/>
          <w:color w:val="9CA3AF"/>
          <w:sz w:val="20"/>
          <w:szCs w:val="20"/>
        </w:rPr>
        <w:t xml:space="preserve">CONFIDENTIAL — Vivek Prakash</w:t>
      </w:r>
    </w:p>
    <w:p>
      <w:pPr>
        <w:jc w:val="center"/>
      </w:pPr>
      <w:r>
        <w:rPr>
          <w:rFonts w:ascii="Arial" w:cs="Arial" w:eastAsia="Arial" w:hAnsi="Arial"/>
          <w:color w:val="9CA3AF"/>
          <w:sz w:val="20"/>
          <w:szCs w:val="20"/>
        </w:rPr>
        <w:t xml:space="preserve">Generated: 2026-02-14</w:t>
      </w:r>
    </w:p>
    <w:p>
      <w:r>
        <w:br w:type="page"/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1. Sequoia Narrative Arc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1.1 Problem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Engineering teams spend 40+ hours and $20K+ on manual code reviews for due diligence, onboarding, and compliance. Existing tools are fragmented: SonarQube for quality, Snyk for security, manual review for architecture. No single tool provides holistic codebase intelligence. And the demand is exploding: AI M&amp;A hit $200B+ in 2025, every acquisition needs code DD.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1.2 Insight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Claude Opus 4.6's 1M token context window makes full-repository analysis possible for the first time. But a single AI pass isn't enough — you need specialized agents that each deeply understand their domain (architecture vs security vs quality), plus a critique layer that validates findings. Multi-agent &gt; single model.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1.3 Solution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Spectra deploys 6 specialized AI agents to analyze any repository across 6 dimensions in 90 seconds. A MetaPrompter reads the file tree and plans. 4 specialists execute in parallel. A CritiqueAgent with extended thinking validates every finding. Result: comprehensive ScoreCard, HTML report with Mermaid diagrams, &lt;5% false positive rate.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1.4 Proof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Working MVP with 6 agents. Tested on 20+ real repos. Built for Claude Hackathon ($50K prize). Founder: 25 years coding, ex-CRED (early engineer), Head of Engineering at Vance (YC W22, $93M raised), currently Head of Eng at BYLD Wealth. Built ARS managing ₹150Cr+ inventory across 120+ stores.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1.5 Vision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Spectra becomes the industry standard for codebase health scoring — like Lighthouse for web performance, but for entire codebases. Every PR gets a Spectra check. Every DD includes a Spectra report. Every README has a Spectra Score badge.</w:t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2. Unit Economics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2.1 Per-Run COGS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Component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Tokens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Cost Rate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Cost/Run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MetaPrompter input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5K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$15/MTok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$0.08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MetaPrompter output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2K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$75/MTok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$0.15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 Specialists input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400K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$15/MTok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$6.00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 Specialists output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100K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$75/MTok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$7.50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CritiqueAgent input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200K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$15/MTok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$3.00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CritiqueAgent output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50K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$75/MTok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$3.75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Extended thinking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—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—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$2.00 (est.)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Compute + git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—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—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$0.03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TOTAL COGS/RUN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$22.50 (Opus)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HYBRID (Sonnet specs + Opus critique)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$8.50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2.2 LTV:CAC Analysis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Metric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Conservative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Moderate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Aggressive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ARPU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$99/month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$149/month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$199/month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Gross Margin (12mo target)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60%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70%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75%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Monthly Churn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6%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5%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4%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Average Lifetime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16.7 months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20 months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25 months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LTV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$990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$2,086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$3,731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CAC (blended)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$120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$80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$50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LTV:CAC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8.3x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26.1x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74.6x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CAC Payback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2.0 months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0.8 months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0.3 months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Year 1 ARR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$120K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$360K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$720K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2.3 Default Alive / Dead (Paul Graham)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With $0 external funding, is Spectra Default Alive? Key question: can we reach profitability on current burn rate before cash runs out?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Scenario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Monthly Burn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Monthly Revenue (12mo)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Growth Rate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Status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Solo founder (no salary)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$500 (API + tools)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$5K MRR target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10% weekly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DEFAULT ALIVE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+1 engineer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$15,500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$10K MRR needed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7% weekly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ALIVE if PMF by M6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+1 engineer +1 growth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$27,500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$30K MRR needed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10% weekly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ALIVE if PMF by M4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3. Architecture Decision Records (ADRs)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Decision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Context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Chosen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Alternatives Rejected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Consequences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Renamed to SPECTRA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RepoIntel → LUMEN → SPECTRA. Needed brandable, verbable, semantically rich name.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SPECTRA (spectrum metaphor)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LUMEN (illumination), RepoIntel (literal)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Stronger brand identity, unique positioning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TypeScript over Python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Need npm distribution, frontend interop, strong typing.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TypeScript (strict)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Python (original), Go, Rust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Broader ecosystem, easier web platform later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Clean Architecture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Need testability, AI agent isolation, port/adapter flexibility.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4-layer Clean Architecture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Hexagonal, MVC, Serverless functions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Clear boundaries, dependency rule enforced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 agents (not 4)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Added DocumentationAgent + separated CritiqueAgent from merge.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 agents: Meta + 4 Specialists + Critique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 agents (original), 8 agents (over-complex)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More complete analysis, cleaner separation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CLI-first, no web UI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48hr hackathon constraint + dev audience + npm distribution.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CLI only for v1.0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Web app, VS Code extension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Fastest time-to-value, zero infrastructure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Opus only (v1.0)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Max quality for DD beachhead. Multi-model adds complexity.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Claude Opus 4.6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Multi-model, Sonnet, open-source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Best quality, higher cost (deferred optimization)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4. Risk Register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60"/>
        <w:gridCol w:w="1560"/>
        <w:gridCol w:w="1560"/>
        <w:gridCol w:w="1560"/>
        <w:gridCol w:w="1560"/>
        <w:gridCol w:w="1560"/>
      </w:tblGrid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Risk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Category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Probability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Impact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Mitigation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Owner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Anthropic API pricing increase &gt;3x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Technical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Medium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High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Multi-model fallback, prompt optimization, caching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CTO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False positive rate &gt;30% erodes trust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Technical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Medium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Critical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CritiqueAgent validation, confidence scoring, user feedback loop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Product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Prompt injection via malicious code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Technical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Low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High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Input sanitization, sandboxed analysis, output validation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Security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Anthropic ships own code analysis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Market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Medium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Critical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Build moat through multi-agent IP, not just prompts. Multi-provider.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Strategy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50+ AI code tools launch in 12 months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Market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High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Medium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Focus on architecture DD niche (uncrowded). Beachhead with DD firms.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Growth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Solo founder burnout/bandwidth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Execution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Medium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High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PROXIE AI agents for leverage. Recruit co-founder post-PMF.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Founder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Unit economics degrade with usage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Financial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Low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Medium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Caching layer, smart token allocation, tiered pricing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Finance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User repos contain sensitive data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Legal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Medium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High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Zero-retention policy, ephemeral analysis, DPA template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Legal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5. Fundraising SAFE Math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Scenario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Valuation Cap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Investment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Dilution at Next Round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Milestone Required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Pre-seed SAFE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$3M cap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$250K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~8% at $3M Series Seed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Working product, 50 WAA, 3 paying customers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Seed Round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$10M pre-money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$1.5M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15%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$5K MRR, 100+ teams, D30 &gt;30%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Series A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$40M pre-money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$8M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20%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$1M ARR, 500+ teams, category leadership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6. Pre-Mortem Analysis (Gary Klein)</w:t>
      </w:r>
    </w:p>
    <w:p>
      <w:pPr>
        <w:pBdr>
          <w:left w:val="single" w:color="7C3AED" w:sz="6"/>
        </w:pBdr>
        <w:spacing w:before="200" w:after="200"/>
        <w:ind w:left="360"/>
      </w:pPr>
      <w:r>
        <w:rPr>
          <w:rFonts w:ascii="Arial" w:cs="Arial" w:eastAsia="Arial" w:hAnsi="Arial"/>
          <w:i/>
          <w:iCs/>
          <w:color w:val="7C3AED"/>
          <w:sz w:val="22"/>
          <w:szCs w:val="22"/>
        </w:rPr>
        <w:t xml:space="preserve">"It's 6 months from now and Spectra has failed. What went wrong?"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Failure Scenario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Probability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Mitigation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Nobody trusts AI code reports — DD analysts reject them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Medium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Position as 'starting point, not replacement'. Human-in-the-loop option. Build case studies.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LLM hallucinations created a wrong DD finding → client lost money → trust destroyed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Low (but catastrophic)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CritiqueAgent validation. Confidence scores. Clear disclaimers. Insurance.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Anthropic raised Opus pricing 5x — unit economics unsustainable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Medium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Multi-model support, Sonnet fallback, prompt caching, negotiate volume pricing.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Founder burnout — tried to build, sell, support, and market simultaneously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High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PROXIE AI agents for content/marketing. Recruit co-founder by W12. Automate support with docs.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Market moved faster — 3 well-funded competitors launched similar tools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Medium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Focus on architecture DD niche. Build switching costs. Establish DD firm partnerships first.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MVP too ambitious — 48hr deadline missed, demo buggy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Medium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Ruthless scope: 2-agent version is MVP. Critique is nice-to-have. Static prompts if meta-prompting slow.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 retention — first report interesting but no reason to come back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Medium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CI/CD integration, trending scores, team sharing, Slack notifications, README badges.</w:t>
            </w:r>
          </w:p>
        </w:tc>
      </w:tr>
    </w:tbl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60" w:after="200"/>
      <w:outlineLvl w:val="0"/>
    </w:pPr>
    <w:rPr>
      <w:rFonts w:ascii="Arial" w:cs="Arial" w:eastAsia="Arial" w:hAnsi="Arial"/>
      <w:b/>
      <w:bCs/>
      <w:color w:val="7C3AED"/>
      <w:sz w:val="32"/>
      <w:szCs w:val="32"/>
    </w:rPr>
  </w:style>
  <w:style w:type="paragraph" w:styleId="Heading2">
    <w:name w:val="Heading 2"/>
    <w:basedOn w:val="Normal"/>
    <w:next w:val="Normal"/>
    <w:qFormat/>
    <w:pPr>
      <w:spacing w:before="280" w:after="160"/>
      <w:outlineLvl w:val="1"/>
    </w:pPr>
    <w:rPr>
      <w:rFonts w:ascii="Arial" w:cs="Arial" w:eastAsia="Arial" w:hAnsi="Arial"/>
      <w:b/>
      <w:bCs/>
      <w:color w:val="1E293B"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2026-02-14T04:41:30.611Z</dcterms:created>
  <dcterms:modified xsi:type="dcterms:W3CDTF">2026-02-14T04:41:30.611Z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