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Page header/footer regression fixture</w:t>
      </w:r>
    </w:p>
    <w:p>
      <w:r>
        <w:t>This document has different_first_page_header_footer enabled. Page 1 should show a distinct first-page header/footer; every page after that should show the regular header/footer instead.</w:t>
      </w:r>
    </w:p>
    <w:p>
      <w:r>
        <w:t>This is body text on page 1.</w:t>
      </w:r>
    </w:p>
    <w:p>
      <w:r>
        <w:br w:type="page"/>
      </w:r>
    </w:p>
    <w:p>
      <w:pPr>
        <w:pStyle w:val="Heading2"/>
      </w:pPr>
      <w:r>
        <w:t>Page 2</w:t>
      </w:r>
    </w:p>
    <w:p>
      <w:r>
        <w:t>This is body text on page 2.</w:t>
      </w:r>
    </w:p>
    <w:sectPr w:rsidR="00FC693F" w:rsidRPr="0006063C" w:rsidSect="00034616">
      <w:headerReference w:type="first" r:id="rId9"/>
      <w:headerReference w:type="default" r:id="rId10"/>
      <w:footerReference w:type="first" r:id="rId11"/>
      <w:footerReference w:type="default" r:id="rId1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FIRST PAGE FOOTER (page 1 only)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REGULAR FOOTER (page 2 onward)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FIRST PAGE HEADER (page 1 only)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REGULAR HEADER (page 2 onward)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