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3A0336" w14:textId="77777777" w:rsidR="0011495C" w:rsidRDefault="00000000">
      <w:pPr>
        <w:jc w:val="center"/>
        <w:rPr>
          <w:rFonts w:ascii="Arial" w:eastAsia="Arial" w:hAnsi="Arial" w:cs="Arial"/>
          <w:b/>
          <w:bCs/>
          <w:color w:val="365F91"/>
          <w:sz w:val="20"/>
          <w:szCs w:val="20"/>
        </w:rPr>
      </w:pPr>
      <w:r>
        <w:rPr>
          <w:rFonts w:ascii="Arial" w:eastAsia="Arial" w:hAnsi="Arial" w:cs="Arial"/>
          <w:b/>
          <w:bCs/>
          <w:color w:val="365F91"/>
          <w:sz w:val="20"/>
          <w:szCs w:val="20"/>
        </w:rPr>
        <w:t>Changes to the DOCLANG Core Spec</w:t>
      </w:r>
    </w:p>
    <w:p w14:paraId="359A2F7F" w14:textId="77777777" w:rsidR="0011495C" w:rsidRDefault="00000000">
      <w:pPr>
        <w:jc w:val="center"/>
        <w:rPr>
          <w:rFonts w:ascii="Arial" w:eastAsia="Arial" w:hAnsi="Arial" w:cs="Arial"/>
          <w:sz w:val="20"/>
          <w:szCs w:val="20"/>
        </w:rPr>
      </w:pPr>
      <w:r>
        <w:rPr>
          <w:rFonts w:ascii="Arial" w:eastAsia="Arial" w:hAnsi="Arial" w:cs="Arial"/>
          <w:sz w:val="20"/>
          <w:szCs w:val="20"/>
        </w:rPr>
        <w:t>Last Updated: 2026-06-18</w:t>
      </w:r>
    </w:p>
    <w:p w14:paraId="771CDECB" w14:textId="77777777" w:rsidR="0011495C" w:rsidRDefault="0011495C">
      <w:pPr>
        <w:rPr>
          <w:rFonts w:ascii="Arial" w:eastAsia="Arial" w:hAnsi="Arial" w:cs="Arial"/>
          <w:sz w:val="20"/>
          <w:szCs w:val="20"/>
        </w:rPr>
      </w:pPr>
    </w:p>
    <w:p w14:paraId="299C12C6" w14:textId="77777777" w:rsidR="0011495C" w:rsidRDefault="00000000">
      <w:pPr>
        <w:widowControl w:val="0"/>
        <w:rPr>
          <w:rFonts w:ascii="Arial" w:eastAsia="Arial" w:hAnsi="Arial" w:cs="Arial"/>
          <w:sz w:val="20"/>
          <w:szCs w:val="20"/>
        </w:rPr>
      </w:pPr>
      <w:r>
        <w:rPr>
          <w:rFonts w:ascii="Arial" w:eastAsia="Arial" w:hAnsi="Arial" w:cs="Arial"/>
          <w:sz w:val="20"/>
          <w:szCs w:val="20"/>
        </w:rPr>
        <w:t xml:space="preserve">This document identifies the edits needed for a PAS submission to ISO via ISO/IEC JTC/1. </w:t>
      </w:r>
    </w:p>
    <w:p w14:paraId="63890786" w14:textId="77777777" w:rsidR="0011495C" w:rsidRDefault="00000000">
      <w:pPr>
        <w:widowControl w:val="0"/>
        <w:spacing w:before="280" w:after="280"/>
        <w:rPr>
          <w:rFonts w:ascii="Arial" w:eastAsia="Arial" w:hAnsi="Arial" w:cs="Arial"/>
          <w:sz w:val="20"/>
          <w:szCs w:val="20"/>
        </w:rPr>
      </w:pPr>
      <w:r>
        <w:rPr>
          <w:rFonts w:ascii="Arial" w:eastAsia="Arial" w:hAnsi="Arial" w:cs="Arial"/>
          <w:sz w:val="20"/>
          <w:szCs w:val="20"/>
        </w:rPr>
        <w:t>The transformation of this technical draft for ISO compliance involves two phases:</w:t>
      </w:r>
    </w:p>
    <w:p w14:paraId="1AF29877" w14:textId="77777777" w:rsidR="0011495C" w:rsidRDefault="00000000">
      <w:pPr>
        <w:widowControl w:val="0"/>
        <w:numPr>
          <w:ilvl w:val="0"/>
          <w:numId w:val="1"/>
        </w:numPr>
        <w:spacing w:before="280"/>
        <w:rPr>
          <w:rFonts w:ascii="Calibri" w:eastAsia="Calibri" w:hAnsi="Calibri" w:cs="Calibri"/>
        </w:rPr>
      </w:pPr>
      <w:r>
        <w:rPr>
          <w:rFonts w:ascii="Arial" w:eastAsia="Arial" w:hAnsi="Arial" w:cs="Arial"/>
          <w:b/>
          <w:bCs/>
          <w:sz w:val="20"/>
          <w:szCs w:val="20"/>
        </w:rPr>
        <w:t>Phase 1</w:t>
      </w:r>
      <w:r>
        <w:rPr>
          <w:rFonts w:ascii="Arial" w:eastAsia="Arial" w:hAnsi="Arial" w:cs="Arial"/>
          <w:sz w:val="20"/>
          <w:szCs w:val="20"/>
        </w:rPr>
        <w:t xml:space="preserve"> (Macro-Level Structural Realignment) fixes the document's main layout. It forces the strict standard clause order, removes forbidden company and author names, cuts out critiques of competing formats, and changes all casual requirement language or uppercase tokens into standard lowercase ISO verbal forms (shall, should, may).</w:t>
      </w:r>
    </w:p>
    <w:p w14:paraId="67CFDF93" w14:textId="2BFFB19C" w:rsidR="0011495C" w:rsidRDefault="00000000">
      <w:pPr>
        <w:widowControl w:val="0"/>
        <w:numPr>
          <w:ilvl w:val="0"/>
          <w:numId w:val="1"/>
        </w:numPr>
        <w:spacing w:before="280"/>
        <w:rPr>
          <w:rFonts w:ascii="Calibri" w:eastAsia="Calibri" w:hAnsi="Calibri" w:cs="Calibri"/>
        </w:rPr>
      </w:pPr>
      <w:r>
        <w:rPr>
          <w:rFonts w:ascii="Arial" w:eastAsia="Arial" w:hAnsi="Arial" w:cs="Arial"/>
          <w:b/>
          <w:bCs/>
          <w:sz w:val="20"/>
          <w:szCs w:val="20"/>
        </w:rPr>
        <w:t>Phase 2</w:t>
      </w:r>
      <w:r>
        <w:rPr>
          <w:rFonts w:ascii="Arial" w:eastAsia="Arial" w:hAnsi="Arial" w:cs="Arial"/>
          <w:sz w:val="20"/>
          <w:szCs w:val="20"/>
        </w:rPr>
        <w:t xml:space="preserve"> (Micro-Level Editorial Optimization) cleans up the small details required by the ISO House Style. This fixes layout bugs like ha</w:t>
      </w:r>
      <w:r w:rsidR="00DF5B7D">
        <w:rPr>
          <w:rFonts w:ascii="Arial" w:eastAsia="Arial" w:hAnsi="Arial" w:cs="Arial"/>
          <w:sz w:val="20"/>
          <w:szCs w:val="20"/>
        </w:rPr>
        <w:t xml:space="preserve"> </w:t>
      </w:r>
      <w:proofErr w:type="spellStart"/>
      <w:r>
        <w:rPr>
          <w:rFonts w:ascii="Arial" w:eastAsia="Arial" w:hAnsi="Arial" w:cs="Arial"/>
          <w:sz w:val="20"/>
          <w:szCs w:val="20"/>
        </w:rPr>
        <w:t>nging</w:t>
      </w:r>
      <w:proofErr w:type="spellEnd"/>
      <w:r>
        <w:rPr>
          <w:rFonts w:ascii="Arial" w:eastAsia="Arial" w:hAnsi="Arial" w:cs="Arial"/>
          <w:sz w:val="20"/>
          <w:szCs w:val="20"/>
        </w:rPr>
        <w:t xml:space="preserve"> paragraphs, adds spaces to large numbers (e.g., 65 535), writes out printable web links for physical paper copies, uses proper math subscript formatting, and limits all typography to standard fonts so it passes the final publishing system.</w:t>
      </w:r>
    </w:p>
    <w:p w14:paraId="2CC0FC25" w14:textId="77777777" w:rsidR="0011495C" w:rsidRDefault="0011495C">
      <w:pPr>
        <w:keepLines/>
        <w:widowControl w:val="0"/>
        <w:spacing w:after="200"/>
        <w:rPr>
          <w:rFonts w:ascii="Arial" w:eastAsia="Arial" w:hAnsi="Arial" w:cs="Arial"/>
          <w:sz w:val="20"/>
          <w:szCs w:val="20"/>
        </w:rPr>
      </w:pPr>
    </w:p>
    <w:p w14:paraId="0295E6F2" w14:textId="77777777" w:rsidR="0011495C" w:rsidRDefault="00000000">
      <w:pPr>
        <w:keepLines/>
        <w:widowControl w:val="0"/>
        <w:spacing w:after="200"/>
        <w:rPr>
          <w:rFonts w:ascii="Arial" w:eastAsia="Arial" w:hAnsi="Arial" w:cs="Arial"/>
          <w:sz w:val="20"/>
          <w:szCs w:val="20"/>
        </w:rPr>
      </w:pPr>
      <w:r>
        <w:rPr>
          <w:rFonts w:ascii="Arial" w:eastAsia="Arial" w:hAnsi="Arial" w:cs="Arial"/>
          <w:b/>
          <w:bCs/>
          <w:sz w:val="20"/>
          <w:szCs w:val="20"/>
        </w:rPr>
        <w:t>Phase 1</w:t>
      </w:r>
    </w:p>
    <w:sdt>
      <w:sdtPr>
        <w:tag w:val="goog_rdk_0"/>
        <w:id w:val="-2014109436"/>
        <w:lock w:val="contentLocked"/>
      </w:sdtPr>
      <w:sdtContent>
        <w:tbl>
          <w:tblPr>
            <w:tblStyle w:val="a"/>
            <w:tblW w:w="1008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360"/>
            <w:gridCol w:w="3360"/>
            <w:gridCol w:w="3360"/>
          </w:tblGrid>
          <w:tr w:rsidR="0011495C" w14:paraId="0E90A1DC" w14:textId="77777777">
            <w:tc>
              <w:tcPr>
                <w:tcW w:w="3360" w:type="dxa"/>
                <w:tcMar>
                  <w:top w:w="100" w:type="dxa"/>
                  <w:left w:w="100" w:type="dxa"/>
                  <w:bottom w:w="100" w:type="dxa"/>
                  <w:right w:w="100" w:type="dxa"/>
                </w:tcMar>
              </w:tcPr>
              <w:p w14:paraId="4BC97AAD" w14:textId="77777777" w:rsidR="0011495C" w:rsidRDefault="00000000">
                <w:pPr>
                  <w:widowControl w:val="0"/>
                  <w:jc w:val="center"/>
                  <w:rPr>
                    <w:rFonts w:ascii="Arial" w:eastAsia="Arial" w:hAnsi="Arial" w:cs="Arial"/>
                    <w:sz w:val="20"/>
                    <w:szCs w:val="20"/>
                  </w:rPr>
                </w:pPr>
                <w:r>
                  <w:rPr>
                    <w:rFonts w:ascii="Arial" w:eastAsia="Arial" w:hAnsi="Arial" w:cs="Arial"/>
                    <w:b/>
                    <w:bCs/>
                    <w:sz w:val="20"/>
                    <w:szCs w:val="20"/>
                  </w:rPr>
                  <w:t>Feature</w:t>
                </w:r>
              </w:p>
            </w:tc>
            <w:tc>
              <w:tcPr>
                <w:tcW w:w="3360" w:type="dxa"/>
                <w:tcMar>
                  <w:top w:w="100" w:type="dxa"/>
                  <w:left w:w="100" w:type="dxa"/>
                  <w:bottom w:w="100" w:type="dxa"/>
                  <w:right w:w="100" w:type="dxa"/>
                </w:tcMar>
              </w:tcPr>
              <w:p w14:paraId="0B741180" w14:textId="77777777" w:rsidR="0011495C" w:rsidRDefault="00000000">
                <w:pPr>
                  <w:widowControl w:val="0"/>
                  <w:jc w:val="center"/>
                  <w:rPr>
                    <w:rFonts w:ascii="Arial" w:eastAsia="Arial" w:hAnsi="Arial" w:cs="Arial"/>
                    <w:sz w:val="20"/>
                    <w:szCs w:val="20"/>
                  </w:rPr>
                </w:pPr>
                <w:r>
                  <w:rPr>
                    <w:rFonts w:ascii="Arial" w:eastAsia="Arial" w:hAnsi="Arial" w:cs="Arial"/>
                    <w:b/>
                    <w:bCs/>
                    <w:sz w:val="20"/>
                    <w:szCs w:val="20"/>
                  </w:rPr>
                  <w:t>Action Needed</w:t>
                </w:r>
              </w:p>
            </w:tc>
            <w:tc>
              <w:tcPr>
                <w:tcW w:w="3360" w:type="dxa"/>
                <w:tcMar>
                  <w:top w:w="100" w:type="dxa"/>
                  <w:left w:w="100" w:type="dxa"/>
                  <w:bottom w:w="100" w:type="dxa"/>
                  <w:right w:w="100" w:type="dxa"/>
                </w:tcMar>
              </w:tcPr>
              <w:p w14:paraId="7ED00D06" w14:textId="77777777" w:rsidR="0011495C" w:rsidRDefault="00000000">
                <w:pPr>
                  <w:widowControl w:val="0"/>
                  <w:jc w:val="center"/>
                  <w:rPr>
                    <w:rFonts w:ascii="Arial" w:eastAsia="Arial" w:hAnsi="Arial" w:cs="Arial"/>
                    <w:sz w:val="20"/>
                    <w:szCs w:val="20"/>
                  </w:rPr>
                </w:pPr>
                <w:r>
                  <w:rPr>
                    <w:rFonts w:ascii="Arial" w:eastAsia="Arial" w:hAnsi="Arial" w:cs="Arial"/>
                    <w:b/>
                    <w:bCs/>
                    <w:sz w:val="20"/>
                    <w:szCs w:val="20"/>
                  </w:rPr>
                  <w:t>Comment/Links</w:t>
                </w:r>
              </w:p>
            </w:tc>
          </w:tr>
          <w:tr w:rsidR="0011495C" w14:paraId="56CA6A1D" w14:textId="77777777">
            <w:tc>
              <w:tcPr>
                <w:tcW w:w="3360" w:type="dxa"/>
                <w:tcMar>
                  <w:top w:w="100" w:type="dxa"/>
                  <w:left w:w="100" w:type="dxa"/>
                  <w:bottom w:w="100" w:type="dxa"/>
                  <w:right w:w="100" w:type="dxa"/>
                </w:tcMar>
              </w:tcPr>
              <w:p w14:paraId="5D9E2001"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Document Clause Ordering</w:t>
                </w:r>
              </w:p>
            </w:tc>
            <w:tc>
              <w:tcPr>
                <w:tcW w:w="3360" w:type="dxa"/>
                <w:tcMar>
                  <w:top w:w="100" w:type="dxa"/>
                  <w:left w:w="100" w:type="dxa"/>
                  <w:bottom w:w="100" w:type="dxa"/>
                  <w:right w:w="100" w:type="dxa"/>
                </w:tcMar>
              </w:tcPr>
              <w:p w14:paraId="163EB137" w14:textId="77777777" w:rsidR="0011495C" w:rsidRDefault="00000000">
                <w:pPr>
                  <w:widowControl w:val="0"/>
                  <w:spacing w:before="240" w:after="240"/>
                  <w:rPr>
                    <w:rFonts w:ascii="Arial" w:eastAsia="Arial" w:hAnsi="Arial" w:cs="Arial"/>
                    <w:sz w:val="20"/>
                    <w:szCs w:val="20"/>
                  </w:rPr>
                </w:pPr>
                <w:r>
                  <w:rPr>
                    <w:rFonts w:ascii="Arial" w:eastAsia="Arial" w:hAnsi="Arial" w:cs="Arial"/>
                    <w:sz w:val="20"/>
                    <w:szCs w:val="20"/>
                  </w:rPr>
                  <w:t>Reorganize into the mandatory sequence:</w:t>
                </w:r>
              </w:p>
              <w:p w14:paraId="7E213F34" w14:textId="77777777" w:rsidR="0011495C" w:rsidRDefault="00000000">
                <w:pPr>
                  <w:widowControl w:val="0"/>
                  <w:spacing w:before="240" w:after="240"/>
                  <w:rPr>
                    <w:rFonts w:ascii="Arial" w:eastAsia="Arial" w:hAnsi="Arial" w:cs="Arial"/>
                    <w:sz w:val="20"/>
                    <w:szCs w:val="20"/>
                  </w:rPr>
                </w:pPr>
                <w:r>
                  <w:rPr>
                    <w:rFonts w:ascii="Arial" w:eastAsia="Arial" w:hAnsi="Arial" w:cs="Arial"/>
                    <w:sz w:val="20"/>
                    <w:szCs w:val="20"/>
                  </w:rPr>
                  <w:t>• Foreword (Mandatory, unnumbered)</w:t>
                </w:r>
              </w:p>
              <w:p w14:paraId="5C829EE2" w14:textId="77777777" w:rsidR="0011495C" w:rsidRDefault="00000000">
                <w:pPr>
                  <w:widowControl w:val="0"/>
                  <w:spacing w:before="240" w:after="240"/>
                  <w:rPr>
                    <w:rFonts w:ascii="Arial" w:eastAsia="Arial" w:hAnsi="Arial" w:cs="Arial"/>
                    <w:sz w:val="20"/>
                    <w:szCs w:val="20"/>
                  </w:rPr>
                </w:pPr>
                <w:r>
                  <w:rPr>
                    <w:rFonts w:ascii="Arial" w:eastAsia="Arial" w:hAnsi="Arial" w:cs="Arial"/>
                    <w:sz w:val="20"/>
                    <w:szCs w:val="20"/>
                  </w:rPr>
                  <w:t>• Introduction (Optional, unnumbered)</w:t>
                </w:r>
              </w:p>
              <w:p w14:paraId="1A161AA5" w14:textId="77777777" w:rsidR="0011495C" w:rsidRDefault="00000000">
                <w:pPr>
                  <w:widowControl w:val="0"/>
                  <w:spacing w:before="240" w:after="240"/>
                  <w:rPr>
                    <w:rFonts w:ascii="Arial" w:eastAsia="Arial" w:hAnsi="Arial" w:cs="Arial"/>
                    <w:sz w:val="20"/>
                    <w:szCs w:val="20"/>
                  </w:rPr>
                </w:pPr>
                <w:r>
                  <w:rPr>
                    <w:rFonts w:ascii="Arial" w:eastAsia="Arial" w:hAnsi="Arial" w:cs="Arial"/>
                    <w:sz w:val="20"/>
                    <w:szCs w:val="20"/>
                  </w:rPr>
                  <w:t>• 1 Scope (Mandatory, Clause 1)</w:t>
                </w:r>
              </w:p>
              <w:p w14:paraId="5D08FDE9" w14:textId="77777777" w:rsidR="0011495C" w:rsidRDefault="00000000">
                <w:pPr>
                  <w:widowControl w:val="0"/>
                  <w:spacing w:before="240" w:after="240"/>
                  <w:rPr>
                    <w:rFonts w:ascii="Arial" w:eastAsia="Arial" w:hAnsi="Arial" w:cs="Arial"/>
                    <w:sz w:val="20"/>
                    <w:szCs w:val="20"/>
                  </w:rPr>
                </w:pPr>
                <w:r>
                  <w:rPr>
                    <w:rFonts w:ascii="Arial" w:eastAsia="Arial" w:hAnsi="Arial" w:cs="Arial"/>
                    <w:sz w:val="20"/>
                    <w:szCs w:val="20"/>
                  </w:rPr>
                  <w:t>• 2 Normative references (Mandatory, Clause 2)</w:t>
                </w:r>
              </w:p>
              <w:p w14:paraId="3D01C8E8" w14:textId="77777777" w:rsidR="0011495C" w:rsidRDefault="00000000">
                <w:pPr>
                  <w:widowControl w:val="0"/>
                  <w:spacing w:before="240" w:after="240"/>
                  <w:rPr>
                    <w:rFonts w:ascii="Arial" w:eastAsia="Arial" w:hAnsi="Arial" w:cs="Arial"/>
                    <w:sz w:val="20"/>
                    <w:szCs w:val="20"/>
                  </w:rPr>
                </w:pPr>
                <w:r>
                  <w:rPr>
                    <w:rFonts w:ascii="Arial" w:eastAsia="Arial" w:hAnsi="Arial" w:cs="Arial"/>
                    <w:sz w:val="20"/>
                    <w:szCs w:val="20"/>
                  </w:rPr>
                  <w:t>• 3 Terms and definitions (Mandatory, Clause 3)</w:t>
                </w:r>
              </w:p>
              <w:p w14:paraId="08855064" w14:textId="77777777" w:rsidR="0011495C" w:rsidRDefault="00000000">
                <w:pPr>
                  <w:widowControl w:val="0"/>
                  <w:spacing w:before="240" w:after="240"/>
                  <w:rPr>
                    <w:rFonts w:ascii="Arial" w:eastAsia="Arial" w:hAnsi="Arial" w:cs="Arial"/>
                    <w:sz w:val="20"/>
                    <w:szCs w:val="20"/>
                  </w:rPr>
                </w:pPr>
                <w:r>
                  <w:rPr>
                    <w:rFonts w:ascii="Arial" w:eastAsia="Arial" w:hAnsi="Arial" w:cs="Arial"/>
                    <w:sz w:val="20"/>
                    <w:szCs w:val="20"/>
                  </w:rPr>
                  <w:t>• 4 Symbols and abbreviated terms (Mandatory, Clause 4)</w:t>
                </w:r>
              </w:p>
              <w:p w14:paraId="7D69B336" w14:textId="77777777" w:rsidR="0011495C" w:rsidRDefault="00000000">
                <w:pPr>
                  <w:widowControl w:val="0"/>
                  <w:spacing w:before="240" w:after="240"/>
                  <w:rPr>
                    <w:rFonts w:ascii="Arial" w:eastAsia="Arial" w:hAnsi="Arial" w:cs="Arial"/>
                    <w:sz w:val="20"/>
                    <w:szCs w:val="20"/>
                  </w:rPr>
                </w:pPr>
                <w:r>
                  <w:rPr>
                    <w:rFonts w:ascii="Arial" w:eastAsia="Arial" w:hAnsi="Arial" w:cs="Arial"/>
                    <w:sz w:val="20"/>
                    <w:szCs w:val="20"/>
                  </w:rPr>
                  <w:t>• 5 Conformance (Mandatory, Clause 5)</w:t>
                </w:r>
              </w:p>
              <w:p w14:paraId="5B0D293C" w14:textId="77777777" w:rsidR="0011495C" w:rsidRDefault="00000000">
                <w:pPr>
                  <w:widowControl w:val="0"/>
                  <w:spacing w:before="240" w:after="240"/>
                  <w:rPr>
                    <w:rFonts w:ascii="Arial" w:eastAsia="Arial" w:hAnsi="Arial" w:cs="Arial"/>
                    <w:sz w:val="20"/>
                    <w:szCs w:val="20"/>
                  </w:rPr>
                </w:pPr>
                <w:r>
                  <w:rPr>
                    <w:rFonts w:ascii="Arial" w:eastAsia="Arial" w:hAnsi="Arial" w:cs="Arial"/>
                    <w:sz w:val="20"/>
                    <w:szCs w:val="20"/>
                  </w:rPr>
                  <w:t>• 6 Technical Clauses...</w:t>
                </w:r>
              </w:p>
              <w:p w14:paraId="22F3BDFD" w14:textId="77777777" w:rsidR="0011495C" w:rsidRDefault="00000000">
                <w:pPr>
                  <w:widowControl w:val="0"/>
                  <w:spacing w:before="240" w:after="240"/>
                  <w:rPr>
                    <w:rFonts w:ascii="Arial" w:eastAsia="Arial" w:hAnsi="Arial" w:cs="Arial"/>
                    <w:sz w:val="20"/>
                    <w:szCs w:val="20"/>
                  </w:rPr>
                </w:pPr>
                <w:r>
                  <w:rPr>
                    <w:rFonts w:ascii="Arial" w:eastAsia="Arial" w:hAnsi="Arial" w:cs="Arial"/>
                    <w:sz w:val="20"/>
                    <w:szCs w:val="20"/>
                  </w:rPr>
                  <w:t>• Annex A (normative)</w:t>
                </w:r>
              </w:p>
              <w:p w14:paraId="7BCC488E" w14:textId="77777777" w:rsidR="0011495C" w:rsidRDefault="00000000">
                <w:pPr>
                  <w:widowControl w:val="0"/>
                  <w:spacing w:before="240" w:after="240"/>
                  <w:rPr>
                    <w:rFonts w:ascii="Arial" w:eastAsia="Arial" w:hAnsi="Arial" w:cs="Arial"/>
                    <w:sz w:val="20"/>
                    <w:szCs w:val="20"/>
                  </w:rPr>
                </w:pPr>
                <w:r>
                  <w:rPr>
                    <w:rFonts w:ascii="Arial" w:eastAsia="Arial" w:hAnsi="Arial" w:cs="Arial"/>
                    <w:sz w:val="20"/>
                    <w:szCs w:val="20"/>
                  </w:rPr>
                  <w:t>• Annex B/C (informative)</w:t>
                </w:r>
              </w:p>
              <w:p w14:paraId="670871E2" w14:textId="77777777" w:rsidR="0011495C" w:rsidRDefault="00000000">
                <w:pPr>
                  <w:widowControl w:val="0"/>
                  <w:spacing w:before="240" w:after="240"/>
                  <w:rPr>
                    <w:rFonts w:ascii="Arial" w:eastAsia="Arial" w:hAnsi="Arial" w:cs="Arial"/>
                    <w:sz w:val="20"/>
                    <w:szCs w:val="20"/>
                  </w:rPr>
                </w:pPr>
                <w:r>
                  <w:rPr>
                    <w:rFonts w:ascii="Arial" w:eastAsia="Arial" w:hAnsi="Arial" w:cs="Arial"/>
                    <w:sz w:val="20"/>
                    <w:szCs w:val="20"/>
                  </w:rPr>
                  <w:t xml:space="preserve">• Bibliography (Mandatory, </w:t>
                </w:r>
                <w:r>
                  <w:rPr>
                    <w:rFonts w:ascii="Arial" w:eastAsia="Arial" w:hAnsi="Arial" w:cs="Arial"/>
                    <w:sz w:val="20"/>
                    <w:szCs w:val="20"/>
                  </w:rPr>
                  <w:lastRenderedPageBreak/>
                  <w:t>absolute end)</w:t>
                </w:r>
              </w:p>
              <w:p w14:paraId="4A05E682" w14:textId="77777777" w:rsidR="0011495C" w:rsidRDefault="0011495C">
                <w:pPr>
                  <w:widowControl w:val="0"/>
                  <w:pBdr>
                    <w:top w:val="nil"/>
                    <w:left w:val="nil"/>
                    <w:bottom w:val="nil"/>
                    <w:right w:val="nil"/>
                    <w:between w:val="nil"/>
                  </w:pBdr>
                  <w:rPr>
                    <w:rFonts w:ascii="Arial" w:eastAsia="Arial" w:hAnsi="Arial" w:cs="Arial"/>
                    <w:sz w:val="20"/>
                    <w:szCs w:val="20"/>
                  </w:rPr>
                </w:pPr>
              </w:p>
            </w:tc>
            <w:tc>
              <w:tcPr>
                <w:tcW w:w="3360" w:type="dxa"/>
                <w:tcMar>
                  <w:top w:w="100" w:type="dxa"/>
                  <w:left w:w="100" w:type="dxa"/>
                  <w:bottom w:w="100" w:type="dxa"/>
                  <w:right w:w="100" w:type="dxa"/>
                </w:tcMar>
              </w:tcPr>
              <w:p w14:paraId="5F68E948"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lastRenderedPageBreak/>
                  <w:t xml:space="preserve">The current draft improperly mixes introductory narrative, design principles, and examples before standard layout clauses are established. See </w:t>
                </w:r>
                <w:hyperlink r:id="rId8" w:anchor="_idTextAnchor005">
                  <w:r>
                    <w:rPr>
                      <w:rFonts w:ascii="Arial" w:eastAsia="Arial" w:hAnsi="Arial" w:cs="Arial"/>
                      <w:color w:val="1155CC"/>
                      <w:sz w:val="20"/>
                      <w:szCs w:val="20"/>
                      <w:u w:val="single"/>
                    </w:rPr>
                    <w:t>ISO/IEC Directives, Part 2, Clause 6.</w:t>
                  </w:r>
                </w:hyperlink>
              </w:p>
            </w:tc>
          </w:tr>
          <w:tr w:rsidR="0011495C" w14:paraId="57EC58FA" w14:textId="77777777">
            <w:tc>
              <w:tcPr>
                <w:tcW w:w="3360" w:type="dxa"/>
                <w:tcMar>
                  <w:top w:w="100" w:type="dxa"/>
                  <w:left w:w="100" w:type="dxa"/>
                  <w:bottom w:w="100" w:type="dxa"/>
                  <w:right w:w="100" w:type="dxa"/>
                </w:tcMar>
              </w:tcPr>
              <w:p w14:paraId="2E55B726"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Author &amp; Corporate Profiles</w:t>
                </w:r>
              </w:p>
            </w:tc>
            <w:tc>
              <w:tcPr>
                <w:tcW w:w="3360" w:type="dxa"/>
                <w:tcMar>
                  <w:top w:w="100" w:type="dxa"/>
                  <w:left w:w="100" w:type="dxa"/>
                  <w:bottom w:w="100" w:type="dxa"/>
                  <w:right w:w="100" w:type="dxa"/>
                </w:tcMar>
              </w:tcPr>
              <w:p w14:paraId="295FF3C3"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Completely remove the table listing individual names and company affiliations.</w:t>
                </w:r>
              </w:p>
            </w:tc>
            <w:tc>
              <w:tcPr>
                <w:tcW w:w="3360" w:type="dxa"/>
                <w:tcMar>
                  <w:top w:w="100" w:type="dxa"/>
                  <w:left w:w="100" w:type="dxa"/>
                  <w:bottom w:w="100" w:type="dxa"/>
                  <w:right w:w="100" w:type="dxa"/>
                </w:tcMar>
              </w:tcPr>
              <w:p w14:paraId="61175A34"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Personal names, corporate branding, logos, and affiliations are prohibited in the normative body of an ISO publication. See ISO/IEC Directives, Part 2, </w:t>
                </w:r>
                <w:hyperlink r:id="rId9" w:anchor="_idTextAnchor005">
                  <w:r>
                    <w:rPr>
                      <w:rFonts w:ascii="Arial" w:eastAsia="Arial" w:hAnsi="Arial" w:cs="Arial"/>
                      <w:color w:val="1155CC"/>
                      <w:sz w:val="20"/>
                      <w:szCs w:val="20"/>
                      <w:u w:val="single"/>
                    </w:rPr>
                    <w:t>Clauses 4</w:t>
                  </w:r>
                </w:hyperlink>
                <w:r>
                  <w:rPr>
                    <w:rFonts w:ascii="Arial" w:eastAsia="Arial" w:hAnsi="Arial" w:cs="Arial"/>
                    <w:sz w:val="20"/>
                    <w:szCs w:val="20"/>
                  </w:rPr>
                  <w:t xml:space="preserve"> and </w:t>
                </w:r>
                <w:hyperlink r:id="rId10" w:anchor="_idTextAnchor005">
                  <w:r>
                    <w:rPr>
                      <w:rFonts w:ascii="Arial" w:eastAsia="Arial" w:hAnsi="Arial" w:cs="Arial"/>
                      <w:color w:val="1155CC"/>
                      <w:sz w:val="20"/>
                      <w:szCs w:val="20"/>
                      <w:u w:val="single"/>
                    </w:rPr>
                    <w:t>12.5.2.</w:t>
                  </w:r>
                </w:hyperlink>
              </w:p>
            </w:tc>
          </w:tr>
          <w:tr w:rsidR="0011495C" w14:paraId="02E59771" w14:textId="77777777">
            <w:tc>
              <w:tcPr>
                <w:tcW w:w="3360" w:type="dxa"/>
                <w:tcMar>
                  <w:top w:w="100" w:type="dxa"/>
                  <w:left w:w="100" w:type="dxa"/>
                  <w:bottom w:w="100" w:type="dxa"/>
                  <w:right w:w="100" w:type="dxa"/>
                </w:tcMar>
              </w:tcPr>
              <w:p w14:paraId="211E51BA"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Foreword Boilerplate</w:t>
                </w:r>
              </w:p>
            </w:tc>
            <w:tc>
              <w:tcPr>
                <w:tcW w:w="3360" w:type="dxa"/>
                <w:tcMar>
                  <w:top w:w="100" w:type="dxa"/>
                  <w:left w:w="100" w:type="dxa"/>
                  <w:bottom w:w="100" w:type="dxa"/>
                  <w:right w:w="100" w:type="dxa"/>
                </w:tcMar>
              </w:tcPr>
              <w:p w14:paraId="23321D6C"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Replace the original foreword with the mandatory ISO/IEC JTC 1 PAS foreword text and retain only a neutral statement identifying the originating workshop.</w:t>
                </w:r>
              </w:p>
            </w:tc>
            <w:tc>
              <w:tcPr>
                <w:tcW w:w="3360" w:type="dxa"/>
                <w:tcMar>
                  <w:top w:w="100" w:type="dxa"/>
                  <w:left w:w="100" w:type="dxa"/>
                  <w:bottom w:w="100" w:type="dxa"/>
                  <w:right w:w="100" w:type="dxa"/>
                </w:tcMar>
              </w:tcPr>
              <w:p w14:paraId="549F6B56"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ISO forewords follow prescribed wording and structure. See ISO/IEC Directives, Part 2, </w:t>
                </w:r>
                <w:hyperlink r:id="rId11">
                  <w:r>
                    <w:rPr>
                      <w:rFonts w:ascii="Arial" w:eastAsia="Arial" w:hAnsi="Arial" w:cs="Arial"/>
                      <w:color w:val="1155CC"/>
                      <w:sz w:val="20"/>
                      <w:szCs w:val="20"/>
                      <w:u w:val="single"/>
                    </w:rPr>
                    <w:t>Clause 12.</w:t>
                  </w:r>
                </w:hyperlink>
              </w:p>
            </w:tc>
          </w:tr>
          <w:tr w:rsidR="0011495C" w14:paraId="4D337E43" w14:textId="77777777">
            <w:tc>
              <w:tcPr>
                <w:tcW w:w="3360" w:type="dxa"/>
                <w:tcMar>
                  <w:top w:w="100" w:type="dxa"/>
                  <w:left w:w="100" w:type="dxa"/>
                  <w:bottom w:w="100" w:type="dxa"/>
                  <w:right w:w="100" w:type="dxa"/>
                </w:tcMar>
              </w:tcPr>
              <w:p w14:paraId="3CEF6B52"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Market / Design Motivation</w:t>
                </w:r>
              </w:p>
            </w:tc>
            <w:tc>
              <w:tcPr>
                <w:tcW w:w="3360" w:type="dxa"/>
                <w:tcMar>
                  <w:top w:w="100" w:type="dxa"/>
                  <w:left w:w="100" w:type="dxa"/>
                  <w:bottom w:w="100" w:type="dxa"/>
                  <w:right w:w="100" w:type="dxa"/>
                </w:tcMar>
              </w:tcPr>
              <w:p w14:paraId="47F4F525"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Remove the Motivation clause and all comparisons criticizing Markdown, HTML, LaTeX, PageXML, ALTO XML, hOCR, or similar technologies.</w:t>
                </w:r>
              </w:p>
            </w:tc>
            <w:tc>
              <w:tcPr>
                <w:tcW w:w="3360" w:type="dxa"/>
                <w:tcMar>
                  <w:top w:w="100" w:type="dxa"/>
                  <w:left w:w="100" w:type="dxa"/>
                  <w:bottom w:w="100" w:type="dxa"/>
                  <w:right w:w="100" w:type="dxa"/>
                </w:tcMar>
              </w:tcPr>
              <w:p w14:paraId="1B6D5A72"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ISO standards shall remain technologically neutral and avoid comparative or competitive claims. See ISO/IEC Directives, Part 2, </w:t>
                </w:r>
                <w:hyperlink r:id="rId12" w:anchor="_idTextAnchor005">
                  <w:r>
                    <w:rPr>
                      <w:rFonts w:ascii="Arial" w:eastAsia="Arial" w:hAnsi="Arial" w:cs="Arial"/>
                      <w:color w:val="1155CC"/>
                      <w:sz w:val="20"/>
                      <w:szCs w:val="20"/>
                      <w:u w:val="single"/>
                    </w:rPr>
                    <w:t>Clause 4</w:t>
                  </w:r>
                </w:hyperlink>
                <w:r>
                  <w:rPr>
                    <w:rFonts w:ascii="Arial" w:eastAsia="Arial" w:hAnsi="Arial" w:cs="Arial"/>
                    <w:sz w:val="20"/>
                    <w:szCs w:val="20"/>
                  </w:rPr>
                  <w:t>.</w:t>
                </w:r>
              </w:p>
            </w:tc>
          </w:tr>
          <w:tr w:rsidR="0011495C" w14:paraId="36933A85" w14:textId="77777777">
            <w:tc>
              <w:tcPr>
                <w:tcW w:w="3360" w:type="dxa"/>
                <w:tcMar>
                  <w:top w:w="100" w:type="dxa"/>
                  <w:left w:w="100" w:type="dxa"/>
                  <w:bottom w:w="100" w:type="dxa"/>
                  <w:right w:w="100" w:type="dxa"/>
                </w:tcMar>
              </w:tcPr>
              <w:p w14:paraId="4B7FA8AE"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Evolutionary Versioning Prose</w:t>
                </w:r>
              </w:p>
            </w:tc>
            <w:tc>
              <w:tcPr>
                <w:tcW w:w="3360" w:type="dxa"/>
                <w:tcMar>
                  <w:top w:w="100" w:type="dxa"/>
                  <w:left w:w="100" w:type="dxa"/>
                  <w:bottom w:w="100" w:type="dxa"/>
                  <w:right w:w="100" w:type="dxa"/>
                </w:tcMar>
              </w:tcPr>
              <w:p w14:paraId="7B76FAF7"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Remove historical development narratives, beta-version discussions, and Version 0.x compatibility explanations.</w:t>
                </w:r>
              </w:p>
            </w:tc>
            <w:tc>
              <w:tcPr>
                <w:tcW w:w="3360" w:type="dxa"/>
                <w:tcMar>
                  <w:top w:w="100" w:type="dxa"/>
                  <w:left w:w="100" w:type="dxa"/>
                  <w:bottom w:w="100" w:type="dxa"/>
                  <w:right w:w="100" w:type="dxa"/>
                </w:tcMar>
              </w:tcPr>
              <w:p w14:paraId="1E86DB2E"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ISO standards describe current requirements, not product-development history. See ISO/IEC Directives, Part 2, Clauses </w:t>
                </w:r>
                <w:hyperlink r:id="rId13" w:anchor="_idTextAnchor005">
                  <w:r>
                    <w:rPr>
                      <w:rFonts w:ascii="Arial" w:eastAsia="Arial" w:hAnsi="Arial" w:cs="Arial"/>
                      <w:color w:val="1155CC"/>
                      <w:sz w:val="20"/>
                      <w:szCs w:val="20"/>
                      <w:u w:val="single"/>
                    </w:rPr>
                    <w:t>11</w:t>
                  </w:r>
                </w:hyperlink>
                <w:r>
                  <w:rPr>
                    <w:rFonts w:ascii="Arial" w:eastAsia="Arial" w:hAnsi="Arial" w:cs="Arial"/>
                    <w:sz w:val="20"/>
                    <w:szCs w:val="20"/>
                  </w:rPr>
                  <w:t xml:space="preserve"> and </w:t>
                </w:r>
                <w:hyperlink r:id="rId14" w:anchor="_idTextAnchor005">
                  <w:r>
                    <w:rPr>
                      <w:rFonts w:ascii="Arial" w:eastAsia="Arial" w:hAnsi="Arial" w:cs="Arial"/>
                      <w:color w:val="1155CC"/>
                      <w:sz w:val="20"/>
                      <w:szCs w:val="20"/>
                      <w:u w:val="single"/>
                    </w:rPr>
                    <w:t>12</w:t>
                  </w:r>
                </w:hyperlink>
                <w:r>
                  <w:rPr>
                    <w:rFonts w:ascii="Arial" w:eastAsia="Arial" w:hAnsi="Arial" w:cs="Arial"/>
                    <w:sz w:val="20"/>
                    <w:szCs w:val="20"/>
                  </w:rPr>
                  <w:t>.</w:t>
                </w:r>
              </w:p>
            </w:tc>
          </w:tr>
          <w:tr w:rsidR="0011495C" w14:paraId="0F54AA17" w14:textId="77777777">
            <w:tc>
              <w:tcPr>
                <w:tcW w:w="3360" w:type="dxa"/>
                <w:tcMar>
                  <w:top w:w="100" w:type="dxa"/>
                  <w:left w:w="100" w:type="dxa"/>
                  <w:bottom w:w="100" w:type="dxa"/>
                  <w:right w:w="100" w:type="dxa"/>
                </w:tcMar>
              </w:tcPr>
              <w:p w14:paraId="4938CCBE"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Clause Header Casing</w:t>
                </w:r>
              </w:p>
            </w:tc>
            <w:tc>
              <w:tcPr>
                <w:tcW w:w="3360" w:type="dxa"/>
                <w:tcMar>
                  <w:top w:w="100" w:type="dxa"/>
                  <w:left w:w="100" w:type="dxa"/>
                  <w:bottom w:w="100" w:type="dxa"/>
                  <w:right w:w="100" w:type="dxa"/>
                </w:tcMar>
              </w:tcPr>
              <w:p w14:paraId="2313795B"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Convert all clause and subclause headings to sentence case.</w:t>
                </w:r>
              </w:p>
            </w:tc>
            <w:tc>
              <w:tcPr>
                <w:tcW w:w="3360" w:type="dxa"/>
                <w:tcMar>
                  <w:top w:w="100" w:type="dxa"/>
                  <w:left w:w="100" w:type="dxa"/>
                  <w:bottom w:w="100" w:type="dxa"/>
                  <w:right w:w="100" w:type="dxa"/>
                </w:tcMar>
              </w:tcPr>
              <w:p w14:paraId="3D2353DA"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Title-case headings are not permitted by ISO house style. See ISO/IEC Directives, Part 2, Clause </w:t>
                </w:r>
                <w:hyperlink r:id="rId15" w:anchor="_idTextAnchor005">
                  <w:r>
                    <w:rPr>
                      <w:rFonts w:ascii="Arial" w:eastAsia="Arial" w:hAnsi="Arial" w:cs="Arial"/>
                      <w:color w:val="1155CC"/>
                      <w:sz w:val="20"/>
                      <w:szCs w:val="20"/>
                      <w:u w:val="single"/>
                    </w:rPr>
                    <w:t>22.2.</w:t>
                  </w:r>
                </w:hyperlink>
              </w:p>
            </w:tc>
          </w:tr>
          <w:tr w:rsidR="0011495C" w14:paraId="66F68173" w14:textId="77777777">
            <w:tc>
              <w:tcPr>
                <w:tcW w:w="3360" w:type="dxa"/>
                <w:tcMar>
                  <w:top w:w="100" w:type="dxa"/>
                  <w:left w:w="100" w:type="dxa"/>
                  <w:bottom w:w="100" w:type="dxa"/>
                  <w:right w:w="100" w:type="dxa"/>
                </w:tcMar>
              </w:tcPr>
              <w:p w14:paraId="3E0DEA4E"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Self-References</w:t>
                </w:r>
              </w:p>
            </w:tc>
            <w:tc>
              <w:tcPr>
                <w:tcW w:w="3360" w:type="dxa"/>
                <w:tcMar>
                  <w:top w:w="100" w:type="dxa"/>
                  <w:left w:w="100" w:type="dxa"/>
                  <w:bottom w:w="100" w:type="dxa"/>
                  <w:right w:w="100" w:type="dxa"/>
                </w:tcMar>
              </w:tcPr>
              <w:p w14:paraId="36E283C9"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Replace all occurrences of “this specification”, “this standard”, and “this format” with “this document”.</w:t>
                </w:r>
              </w:p>
            </w:tc>
            <w:tc>
              <w:tcPr>
                <w:tcW w:w="3360" w:type="dxa"/>
                <w:tcMar>
                  <w:top w:w="100" w:type="dxa"/>
                  <w:left w:w="100" w:type="dxa"/>
                  <w:bottom w:w="100" w:type="dxa"/>
                  <w:right w:w="100" w:type="dxa"/>
                </w:tcMar>
              </w:tcPr>
              <w:p w14:paraId="2AE67A81"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ISO publications refer to themselves exclusively as “this document”. See ISO/IEC Directives, Part 2, Clause </w:t>
                </w:r>
                <w:hyperlink r:id="rId16" w:anchor="_idTextAnchor005">
                  <w:r>
                    <w:rPr>
                      <w:rFonts w:ascii="Arial" w:eastAsia="Arial" w:hAnsi="Arial" w:cs="Arial"/>
                      <w:color w:val="1155CC"/>
                      <w:sz w:val="20"/>
                      <w:szCs w:val="20"/>
                      <w:u w:val="single"/>
                    </w:rPr>
                    <w:t>10.6</w:t>
                  </w:r>
                </w:hyperlink>
                <w:r>
                  <w:rPr>
                    <w:rFonts w:ascii="Arial" w:eastAsia="Arial" w:hAnsi="Arial" w:cs="Arial"/>
                    <w:sz w:val="20"/>
                    <w:szCs w:val="20"/>
                  </w:rPr>
                  <w:t>.</w:t>
                </w:r>
              </w:p>
            </w:tc>
          </w:tr>
          <w:tr w:rsidR="0011495C" w14:paraId="70243757" w14:textId="77777777">
            <w:tc>
              <w:tcPr>
                <w:tcW w:w="3360" w:type="dxa"/>
                <w:tcMar>
                  <w:top w:w="100" w:type="dxa"/>
                  <w:left w:w="100" w:type="dxa"/>
                  <w:bottom w:w="100" w:type="dxa"/>
                  <w:right w:w="100" w:type="dxa"/>
                </w:tcMar>
              </w:tcPr>
              <w:p w14:paraId="19D109C6"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Scope Clause Compliance</w:t>
                </w:r>
              </w:p>
            </w:tc>
            <w:tc>
              <w:tcPr>
                <w:tcW w:w="3360" w:type="dxa"/>
                <w:tcMar>
                  <w:top w:w="100" w:type="dxa"/>
                  <w:left w:w="100" w:type="dxa"/>
                  <w:bottom w:w="100" w:type="dxa"/>
                  <w:right w:w="100" w:type="dxa"/>
                </w:tcMar>
              </w:tcPr>
              <w:p w14:paraId="0370A11D"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Rewrite Clause 1 to describe the subject matter only and remove normative statements, implementation obligations, and references to conformance requirements.</w:t>
                </w:r>
              </w:p>
            </w:tc>
            <w:tc>
              <w:tcPr>
                <w:tcW w:w="3360" w:type="dxa"/>
                <w:tcMar>
                  <w:top w:w="100" w:type="dxa"/>
                  <w:left w:w="100" w:type="dxa"/>
                  <w:bottom w:w="100" w:type="dxa"/>
                  <w:right w:w="100" w:type="dxa"/>
                </w:tcMar>
              </w:tcPr>
              <w:p w14:paraId="12E18126"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The Scope clause shall define the extent and field of application of the document and shall not contain requirements. See ISO/IEC Directives, Part 2, </w:t>
                </w:r>
                <w:hyperlink r:id="rId17" w:anchor="_idTextAnchor005">
                  <w:r>
                    <w:rPr>
                      <w:rFonts w:ascii="Arial" w:eastAsia="Arial" w:hAnsi="Arial" w:cs="Arial"/>
                      <w:color w:val="1155CC"/>
                      <w:sz w:val="20"/>
                      <w:szCs w:val="20"/>
                      <w:u w:val="single"/>
                    </w:rPr>
                    <w:t>Clause 14</w:t>
                  </w:r>
                </w:hyperlink>
                <w:r>
                  <w:rPr>
                    <w:rFonts w:ascii="Arial" w:eastAsia="Arial" w:hAnsi="Arial" w:cs="Arial"/>
                    <w:sz w:val="20"/>
                    <w:szCs w:val="20"/>
                  </w:rPr>
                  <w:t>.</w:t>
                </w:r>
              </w:p>
            </w:tc>
          </w:tr>
          <w:tr w:rsidR="0011495C" w14:paraId="29DE8F9B" w14:textId="77777777">
            <w:tc>
              <w:tcPr>
                <w:tcW w:w="3360" w:type="dxa"/>
                <w:tcMar>
                  <w:top w:w="100" w:type="dxa"/>
                  <w:left w:w="100" w:type="dxa"/>
                  <w:bottom w:w="100" w:type="dxa"/>
                  <w:right w:w="100" w:type="dxa"/>
                </w:tcMar>
              </w:tcPr>
              <w:p w14:paraId="386BE8B6"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Normative References Clause</w:t>
                </w:r>
              </w:p>
            </w:tc>
            <w:tc>
              <w:tcPr>
                <w:tcW w:w="3360" w:type="dxa"/>
                <w:tcMar>
                  <w:top w:w="100" w:type="dxa"/>
                  <w:left w:w="100" w:type="dxa"/>
                  <w:bottom w:w="100" w:type="dxa"/>
                  <w:right w:w="100" w:type="dxa"/>
                </w:tcMar>
              </w:tcPr>
              <w:p w14:paraId="1ECB5B5F"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Create Clause 2 immediately after Scope. If no references are required, insert: “There are no normative references in this document.”</w:t>
                </w:r>
              </w:p>
            </w:tc>
            <w:tc>
              <w:tcPr>
                <w:tcW w:w="3360" w:type="dxa"/>
                <w:tcMar>
                  <w:top w:w="100" w:type="dxa"/>
                  <w:left w:w="100" w:type="dxa"/>
                  <w:bottom w:w="100" w:type="dxa"/>
                  <w:right w:w="100" w:type="dxa"/>
                </w:tcMar>
              </w:tcPr>
              <w:p w14:paraId="7A7D0966"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Clause 2 is mandatory. See ISO/IEC Directives, Part 2, </w:t>
                </w:r>
                <w:hyperlink r:id="rId18" w:anchor="_idTextAnchor005">
                  <w:r>
                    <w:rPr>
                      <w:rFonts w:ascii="Arial" w:eastAsia="Arial" w:hAnsi="Arial" w:cs="Arial"/>
                      <w:color w:val="1155CC"/>
                      <w:sz w:val="20"/>
                      <w:szCs w:val="20"/>
                      <w:u w:val="single"/>
                    </w:rPr>
                    <w:t>Clause 15</w:t>
                  </w:r>
                </w:hyperlink>
                <w:r>
                  <w:rPr>
                    <w:rFonts w:ascii="Arial" w:eastAsia="Arial" w:hAnsi="Arial" w:cs="Arial"/>
                    <w:sz w:val="20"/>
                    <w:szCs w:val="20"/>
                  </w:rPr>
                  <w:t>.</w:t>
                </w:r>
              </w:p>
            </w:tc>
          </w:tr>
          <w:tr w:rsidR="0011495C" w14:paraId="6E1E756C" w14:textId="77777777">
            <w:tc>
              <w:tcPr>
                <w:tcW w:w="3360" w:type="dxa"/>
                <w:tcMar>
                  <w:top w:w="100" w:type="dxa"/>
                  <w:left w:w="100" w:type="dxa"/>
                  <w:bottom w:w="100" w:type="dxa"/>
                  <w:right w:w="100" w:type="dxa"/>
                </w:tcMar>
              </w:tcPr>
              <w:p w14:paraId="5A380965"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External Dependency Classification</w:t>
                </w:r>
              </w:p>
            </w:tc>
            <w:tc>
              <w:tcPr>
                <w:tcW w:w="3360" w:type="dxa"/>
                <w:tcMar>
                  <w:top w:w="100" w:type="dxa"/>
                  <w:left w:w="100" w:type="dxa"/>
                  <w:bottom w:w="100" w:type="dxa"/>
                  <w:right w:w="100" w:type="dxa"/>
                </w:tcMar>
              </w:tcPr>
              <w:p w14:paraId="32CD4A99"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Review references to XML, XSD, Unicode, URI specifications, and RFCs, classifying each as </w:t>
                </w:r>
                <w:r>
                  <w:rPr>
                    <w:rFonts w:ascii="Arial" w:eastAsia="Arial" w:hAnsi="Arial" w:cs="Arial"/>
                    <w:sz w:val="20"/>
                    <w:szCs w:val="20"/>
                  </w:rPr>
                  <w:lastRenderedPageBreak/>
                  <w:t>normative (Clause 2) or informative (Bibliography).</w:t>
                </w:r>
              </w:p>
            </w:tc>
            <w:tc>
              <w:tcPr>
                <w:tcW w:w="3360" w:type="dxa"/>
                <w:tcMar>
                  <w:top w:w="100" w:type="dxa"/>
                  <w:left w:w="100" w:type="dxa"/>
                  <w:bottom w:w="100" w:type="dxa"/>
                  <w:right w:w="100" w:type="dxa"/>
                </w:tcMar>
              </w:tcPr>
              <w:p w14:paraId="08B3A06F"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lastRenderedPageBreak/>
                  <w:t xml:space="preserve">Any referenced document required to implement this document shall appear in Clause 2. See ISO/IEC </w:t>
                </w:r>
                <w:r>
                  <w:rPr>
                    <w:rFonts w:ascii="Arial" w:eastAsia="Arial" w:hAnsi="Arial" w:cs="Arial"/>
                    <w:sz w:val="20"/>
                    <w:szCs w:val="20"/>
                  </w:rPr>
                  <w:lastRenderedPageBreak/>
                  <w:t xml:space="preserve">Directives, Part 2, </w:t>
                </w:r>
                <w:hyperlink r:id="rId19" w:anchor="_idTextAnchor005">
                  <w:r>
                    <w:rPr>
                      <w:rFonts w:ascii="Arial" w:eastAsia="Arial" w:hAnsi="Arial" w:cs="Arial"/>
                      <w:color w:val="1155CC"/>
                      <w:sz w:val="20"/>
                      <w:szCs w:val="20"/>
                      <w:u w:val="single"/>
                    </w:rPr>
                    <w:t>Clause 15</w:t>
                  </w:r>
                </w:hyperlink>
                <w:r>
                  <w:rPr>
                    <w:rFonts w:ascii="Arial" w:eastAsia="Arial" w:hAnsi="Arial" w:cs="Arial"/>
                    <w:sz w:val="20"/>
                    <w:szCs w:val="20"/>
                  </w:rPr>
                  <w:t>.</w:t>
                </w:r>
              </w:p>
            </w:tc>
          </w:tr>
          <w:tr w:rsidR="0011495C" w14:paraId="6DDA2B1B" w14:textId="77777777">
            <w:tc>
              <w:tcPr>
                <w:tcW w:w="3360" w:type="dxa"/>
                <w:tcMar>
                  <w:top w:w="100" w:type="dxa"/>
                  <w:left w:w="100" w:type="dxa"/>
                  <w:bottom w:w="100" w:type="dxa"/>
                  <w:right w:w="100" w:type="dxa"/>
                </w:tcMar>
              </w:tcPr>
              <w:p w14:paraId="218BABCB"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lastRenderedPageBreak/>
                  <w:t>Terms and Definitions Clause</w:t>
                </w:r>
              </w:p>
            </w:tc>
            <w:tc>
              <w:tcPr>
                <w:tcW w:w="3360" w:type="dxa"/>
                <w:tcMar>
                  <w:top w:w="100" w:type="dxa"/>
                  <w:left w:w="100" w:type="dxa"/>
                  <w:bottom w:w="100" w:type="dxa"/>
                  <w:right w:w="100" w:type="dxa"/>
                </w:tcMar>
              </w:tcPr>
              <w:p w14:paraId="064A5275"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Convert “Terminology” into “Terms and definitions” and format all entries according to ISO terminology conventions.</w:t>
                </w:r>
              </w:p>
            </w:tc>
            <w:tc>
              <w:tcPr>
                <w:tcW w:w="3360" w:type="dxa"/>
                <w:tcMar>
                  <w:top w:w="100" w:type="dxa"/>
                  <w:left w:w="100" w:type="dxa"/>
                  <w:bottom w:w="100" w:type="dxa"/>
                  <w:right w:w="100" w:type="dxa"/>
                </w:tcMar>
              </w:tcPr>
              <w:p w14:paraId="6C49FF75"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Definitions shall follow the prescribed ISO structure. See ISO/IEC Directives, Part 2, </w:t>
                </w:r>
                <w:hyperlink r:id="rId20" w:anchor="_idTextAnchor005">
                  <w:r>
                    <w:rPr>
                      <w:rFonts w:ascii="Arial" w:eastAsia="Arial" w:hAnsi="Arial" w:cs="Arial"/>
                      <w:color w:val="1155CC"/>
                      <w:sz w:val="20"/>
                      <w:szCs w:val="20"/>
                      <w:u w:val="single"/>
                    </w:rPr>
                    <w:t>Clause 16</w:t>
                  </w:r>
                </w:hyperlink>
                <w:r>
                  <w:rPr>
                    <w:rFonts w:ascii="Arial" w:eastAsia="Arial" w:hAnsi="Arial" w:cs="Arial"/>
                    <w:sz w:val="20"/>
                    <w:szCs w:val="20"/>
                  </w:rPr>
                  <w:t>.</w:t>
                </w:r>
              </w:p>
            </w:tc>
          </w:tr>
          <w:tr w:rsidR="0011495C" w14:paraId="1CB3CF9C" w14:textId="77777777">
            <w:tc>
              <w:tcPr>
                <w:tcW w:w="3360" w:type="dxa"/>
                <w:tcMar>
                  <w:top w:w="100" w:type="dxa"/>
                  <w:left w:w="100" w:type="dxa"/>
                  <w:bottom w:w="100" w:type="dxa"/>
                  <w:right w:w="100" w:type="dxa"/>
                </w:tcMar>
              </w:tcPr>
              <w:p w14:paraId="65B49189"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Entry Notes in Definitions</w:t>
                </w:r>
              </w:p>
            </w:tc>
            <w:tc>
              <w:tcPr>
                <w:tcW w:w="3360" w:type="dxa"/>
                <w:tcMar>
                  <w:top w:w="100" w:type="dxa"/>
                  <w:left w:w="100" w:type="dxa"/>
                  <w:bottom w:w="100" w:type="dxa"/>
                  <w:right w:w="100" w:type="dxa"/>
                </w:tcMar>
              </w:tcPr>
              <w:p w14:paraId="5B400FCE"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Convert embedded explanatory remarks into formal “Note X to entry:” format.</w:t>
                </w:r>
              </w:p>
            </w:tc>
            <w:tc>
              <w:tcPr>
                <w:tcW w:w="3360" w:type="dxa"/>
                <w:tcMar>
                  <w:top w:w="100" w:type="dxa"/>
                  <w:left w:w="100" w:type="dxa"/>
                  <w:bottom w:w="100" w:type="dxa"/>
                  <w:right w:w="100" w:type="dxa"/>
                </w:tcMar>
              </w:tcPr>
              <w:p w14:paraId="43AB4646"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Informal notes embedded in definitions are not permitted. See ISO/IEC Directives, Part 2, </w:t>
                </w:r>
                <w:hyperlink r:id="rId21" w:anchor="_idTextAnchor005">
                  <w:r>
                    <w:rPr>
                      <w:rFonts w:ascii="Arial" w:eastAsia="Arial" w:hAnsi="Arial" w:cs="Arial"/>
                      <w:color w:val="1155CC"/>
                      <w:sz w:val="20"/>
                      <w:szCs w:val="20"/>
                      <w:u w:val="single"/>
                    </w:rPr>
                    <w:t>Clause 16.5.9.</w:t>
                  </w:r>
                </w:hyperlink>
              </w:p>
            </w:tc>
          </w:tr>
          <w:tr w:rsidR="0011495C" w14:paraId="394B37F4" w14:textId="77777777">
            <w:tc>
              <w:tcPr>
                <w:tcW w:w="3360" w:type="dxa"/>
                <w:tcMar>
                  <w:top w:w="100" w:type="dxa"/>
                  <w:left w:w="100" w:type="dxa"/>
                  <w:bottom w:w="100" w:type="dxa"/>
                  <w:right w:w="100" w:type="dxa"/>
                </w:tcMar>
              </w:tcPr>
              <w:p w14:paraId="393067E4"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Terminological Source Attribution</w:t>
                </w:r>
              </w:p>
            </w:tc>
            <w:tc>
              <w:tcPr>
                <w:tcW w:w="3360" w:type="dxa"/>
                <w:tcMar>
                  <w:top w:w="100" w:type="dxa"/>
                  <w:left w:w="100" w:type="dxa"/>
                  <w:bottom w:w="100" w:type="dxa"/>
                  <w:right w:w="100" w:type="dxa"/>
                </w:tcMar>
              </w:tcPr>
              <w:p w14:paraId="110E75F7"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Add formal [SOURCE: ...] citations to imported definitions.</w:t>
                </w:r>
              </w:p>
            </w:tc>
            <w:tc>
              <w:tcPr>
                <w:tcW w:w="3360" w:type="dxa"/>
                <w:tcMar>
                  <w:top w:w="100" w:type="dxa"/>
                  <w:left w:w="100" w:type="dxa"/>
                  <w:bottom w:w="100" w:type="dxa"/>
                  <w:right w:w="100" w:type="dxa"/>
                </w:tcMar>
              </w:tcPr>
              <w:p w14:paraId="72D039ED"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Borrowed definitions require source attribution. See ISO/IEC Directives, Part 2, </w:t>
                </w:r>
                <w:hyperlink r:id="rId22" w:anchor="_idTextAnchor005">
                  <w:r>
                    <w:rPr>
                      <w:rFonts w:ascii="Arial" w:eastAsia="Arial" w:hAnsi="Arial" w:cs="Arial"/>
                      <w:color w:val="1155CC"/>
                      <w:sz w:val="20"/>
                      <w:szCs w:val="20"/>
                      <w:u w:val="single"/>
                    </w:rPr>
                    <w:t>Clause 16.5.10</w:t>
                  </w:r>
                </w:hyperlink>
                <w:r>
                  <w:rPr>
                    <w:rFonts w:ascii="Arial" w:eastAsia="Arial" w:hAnsi="Arial" w:cs="Arial"/>
                    <w:sz w:val="20"/>
                    <w:szCs w:val="20"/>
                  </w:rPr>
                  <w:t>.</w:t>
                </w:r>
              </w:p>
            </w:tc>
          </w:tr>
          <w:tr w:rsidR="0011495C" w14:paraId="3EE93D1F" w14:textId="77777777">
            <w:tc>
              <w:tcPr>
                <w:tcW w:w="3360" w:type="dxa"/>
                <w:tcMar>
                  <w:top w:w="100" w:type="dxa"/>
                  <w:left w:w="100" w:type="dxa"/>
                  <w:bottom w:w="100" w:type="dxa"/>
                  <w:right w:w="100" w:type="dxa"/>
                </w:tcMar>
              </w:tcPr>
              <w:p w14:paraId="15AE530D"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Terminology Consistency Audit</w:t>
                </w:r>
              </w:p>
            </w:tc>
            <w:tc>
              <w:tcPr>
                <w:tcW w:w="3360" w:type="dxa"/>
                <w:tcMar>
                  <w:top w:w="100" w:type="dxa"/>
                  <w:left w:w="100" w:type="dxa"/>
                  <w:bottom w:w="100" w:type="dxa"/>
                  <w:right w:w="100" w:type="dxa"/>
                </w:tcMar>
              </w:tcPr>
              <w:p w14:paraId="5BB4D12B"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Establish a single preferred term for each concept and remove synonyms throughout the document.</w:t>
                </w:r>
              </w:p>
            </w:tc>
            <w:tc>
              <w:tcPr>
                <w:tcW w:w="3360" w:type="dxa"/>
                <w:tcMar>
                  <w:top w:w="100" w:type="dxa"/>
                  <w:left w:w="100" w:type="dxa"/>
                  <w:bottom w:w="100" w:type="dxa"/>
                  <w:right w:w="100" w:type="dxa"/>
                </w:tcMar>
              </w:tcPr>
              <w:p w14:paraId="42C94858"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ISO drafting follows a one-concept–one-term principle. See ISO/IEC Directives, Part 2, </w:t>
                </w:r>
                <w:hyperlink r:id="rId23" w:anchor="_idTextAnchor005">
                  <w:r>
                    <w:rPr>
                      <w:rFonts w:ascii="Arial" w:eastAsia="Arial" w:hAnsi="Arial" w:cs="Arial"/>
                      <w:color w:val="1155CC"/>
                      <w:sz w:val="20"/>
                      <w:szCs w:val="20"/>
                      <w:u w:val="single"/>
                    </w:rPr>
                    <w:t>Clause 16</w:t>
                  </w:r>
                </w:hyperlink>
                <w:r>
                  <w:rPr>
                    <w:rFonts w:ascii="Arial" w:eastAsia="Arial" w:hAnsi="Arial" w:cs="Arial"/>
                    <w:sz w:val="20"/>
                    <w:szCs w:val="20"/>
                  </w:rPr>
                  <w:t>.</w:t>
                </w:r>
              </w:p>
            </w:tc>
          </w:tr>
          <w:tr w:rsidR="0011495C" w14:paraId="41FF4A6A" w14:textId="77777777">
            <w:tc>
              <w:tcPr>
                <w:tcW w:w="3360" w:type="dxa"/>
                <w:tcMar>
                  <w:top w:w="100" w:type="dxa"/>
                  <w:left w:w="100" w:type="dxa"/>
                  <w:bottom w:w="100" w:type="dxa"/>
                  <w:right w:w="100" w:type="dxa"/>
                </w:tcMar>
              </w:tcPr>
              <w:p w14:paraId="14DAB059"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Symbols and Abbreviated Terms Clause</w:t>
                </w:r>
              </w:p>
            </w:tc>
            <w:tc>
              <w:tcPr>
                <w:tcW w:w="3360" w:type="dxa"/>
                <w:tcMar>
                  <w:top w:w="100" w:type="dxa"/>
                  <w:left w:w="100" w:type="dxa"/>
                  <w:bottom w:w="100" w:type="dxa"/>
                  <w:right w:w="100" w:type="dxa"/>
                </w:tcMar>
              </w:tcPr>
              <w:p w14:paraId="24ABF0E5"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Create Clause 4 or merge abbreviations into Clause 3.</w:t>
                </w:r>
              </w:p>
            </w:tc>
            <w:tc>
              <w:tcPr>
                <w:tcW w:w="3360" w:type="dxa"/>
                <w:tcMar>
                  <w:top w:w="100" w:type="dxa"/>
                  <w:left w:w="100" w:type="dxa"/>
                  <w:bottom w:w="100" w:type="dxa"/>
                  <w:right w:w="100" w:type="dxa"/>
                </w:tcMar>
              </w:tcPr>
              <w:p w14:paraId="73453B42"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Acronyms such as OTSL, XML, VLM, RAG, PII, GDPR, and XSD require centralized treatment. See ISO/IEC Directives, Part 2, </w:t>
                </w:r>
                <w:hyperlink r:id="rId24" w:anchor="_idTextAnchor005">
                  <w:r>
                    <w:rPr>
                      <w:rFonts w:ascii="Arial" w:eastAsia="Arial" w:hAnsi="Arial" w:cs="Arial"/>
                      <w:color w:val="1155CC"/>
                      <w:sz w:val="20"/>
                      <w:szCs w:val="20"/>
                      <w:u w:val="single"/>
                    </w:rPr>
                    <w:t>Clause 17.</w:t>
                  </w:r>
                </w:hyperlink>
              </w:p>
            </w:tc>
          </w:tr>
          <w:tr w:rsidR="0011495C" w14:paraId="017C4B16" w14:textId="77777777">
            <w:tc>
              <w:tcPr>
                <w:tcW w:w="3360" w:type="dxa"/>
                <w:tcMar>
                  <w:top w:w="100" w:type="dxa"/>
                  <w:left w:w="100" w:type="dxa"/>
                  <w:bottom w:w="100" w:type="dxa"/>
                  <w:right w:w="100" w:type="dxa"/>
                </w:tcMar>
              </w:tcPr>
              <w:p w14:paraId="79D68C83"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Conformance Definition</w:t>
                </w:r>
              </w:p>
            </w:tc>
            <w:tc>
              <w:tcPr>
                <w:tcW w:w="3360" w:type="dxa"/>
                <w:tcMar>
                  <w:top w:w="100" w:type="dxa"/>
                  <w:left w:w="100" w:type="dxa"/>
                  <w:bottom w:w="100" w:type="dxa"/>
                  <w:right w:w="100" w:type="dxa"/>
                </w:tcMar>
              </w:tcPr>
              <w:p w14:paraId="36D96CC9"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Create Clause 5 Conformance defining the implementation classes eligible to claim compliance.</w:t>
                </w:r>
              </w:p>
            </w:tc>
            <w:tc>
              <w:tcPr>
                <w:tcW w:w="3360" w:type="dxa"/>
                <w:tcMar>
                  <w:top w:w="100" w:type="dxa"/>
                  <w:left w:w="100" w:type="dxa"/>
                  <w:bottom w:w="100" w:type="dxa"/>
                  <w:right w:w="100" w:type="dxa"/>
                </w:tcMar>
              </w:tcPr>
              <w:p w14:paraId="4E2F23C6"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Requirements cannot exist without identifying the responsible implementation target. See ISO/IEC Directives, Part 2, </w:t>
                </w:r>
                <w:hyperlink r:id="rId25" w:anchor="_idTextAnchor005">
                  <w:r>
                    <w:rPr>
                      <w:rFonts w:ascii="Arial" w:eastAsia="Arial" w:hAnsi="Arial" w:cs="Arial"/>
                      <w:color w:val="1155CC"/>
                      <w:sz w:val="20"/>
                      <w:szCs w:val="20"/>
                      <w:u w:val="single"/>
                    </w:rPr>
                    <w:t>Clause 33.</w:t>
                  </w:r>
                </w:hyperlink>
              </w:p>
            </w:tc>
          </w:tr>
          <w:tr w:rsidR="0011495C" w14:paraId="3A0F1A28" w14:textId="77777777">
            <w:tc>
              <w:tcPr>
                <w:tcW w:w="3360" w:type="dxa"/>
                <w:tcMar>
                  <w:top w:w="100" w:type="dxa"/>
                  <w:left w:w="100" w:type="dxa"/>
                  <w:bottom w:w="100" w:type="dxa"/>
                  <w:right w:w="100" w:type="dxa"/>
                </w:tcMar>
              </w:tcPr>
              <w:p w14:paraId="18592A8A"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Conformance Classes</w:t>
                </w:r>
              </w:p>
            </w:tc>
            <w:tc>
              <w:tcPr>
                <w:tcW w:w="3360" w:type="dxa"/>
                <w:tcMar>
                  <w:top w:w="100" w:type="dxa"/>
                  <w:left w:w="100" w:type="dxa"/>
                  <w:bottom w:w="100" w:type="dxa"/>
                  <w:right w:w="100" w:type="dxa"/>
                </w:tcMar>
              </w:tcPr>
              <w:p w14:paraId="2FC1B5AB"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Define separate conformance classes where applicable (e.g., document producers, validators, parsers, processors, renderers).</w:t>
                </w:r>
              </w:p>
            </w:tc>
            <w:tc>
              <w:tcPr>
                <w:tcW w:w="3360" w:type="dxa"/>
                <w:tcMar>
                  <w:top w:w="100" w:type="dxa"/>
                  <w:left w:w="100" w:type="dxa"/>
                  <w:bottom w:w="100" w:type="dxa"/>
                  <w:right w:w="100" w:type="dxa"/>
                </w:tcMar>
              </w:tcPr>
              <w:p w14:paraId="356335AE"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Distinct implementation categories may require different obligations and test criteria. See ISO/IEC Directives, Part 2, </w:t>
                </w:r>
                <w:hyperlink r:id="rId26" w:anchor="_idTextAnchor005">
                  <w:r>
                    <w:rPr>
                      <w:rFonts w:ascii="Arial" w:eastAsia="Arial" w:hAnsi="Arial" w:cs="Arial"/>
                      <w:color w:val="1155CC"/>
                      <w:sz w:val="20"/>
                      <w:szCs w:val="20"/>
                      <w:u w:val="single"/>
                    </w:rPr>
                    <w:t>Clause 33</w:t>
                  </w:r>
                </w:hyperlink>
                <w:r>
                  <w:rPr>
                    <w:rFonts w:ascii="Arial" w:eastAsia="Arial" w:hAnsi="Arial" w:cs="Arial"/>
                    <w:sz w:val="20"/>
                    <w:szCs w:val="20"/>
                  </w:rPr>
                  <w:t>.</w:t>
                </w:r>
              </w:p>
            </w:tc>
          </w:tr>
          <w:tr w:rsidR="0011495C" w14:paraId="0436EDF3" w14:textId="77777777">
            <w:tc>
              <w:tcPr>
                <w:tcW w:w="3360" w:type="dxa"/>
                <w:tcMar>
                  <w:top w:w="100" w:type="dxa"/>
                  <w:left w:w="100" w:type="dxa"/>
                  <w:bottom w:w="100" w:type="dxa"/>
                  <w:right w:w="100" w:type="dxa"/>
                </w:tcMar>
              </w:tcPr>
              <w:p w14:paraId="706B4CC4"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Requirement Traceability</w:t>
                </w:r>
              </w:p>
            </w:tc>
            <w:tc>
              <w:tcPr>
                <w:tcW w:w="3360" w:type="dxa"/>
                <w:tcMar>
                  <w:top w:w="100" w:type="dxa"/>
                  <w:left w:w="100" w:type="dxa"/>
                  <w:bottom w:w="100" w:type="dxa"/>
                  <w:right w:w="100" w:type="dxa"/>
                </w:tcMar>
              </w:tcPr>
              <w:p w14:paraId="5F6CEC0B"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Ensure every “shall” statement identifies a responsible subject and can be objectively tested.</w:t>
                </w:r>
              </w:p>
            </w:tc>
            <w:tc>
              <w:tcPr>
                <w:tcW w:w="3360" w:type="dxa"/>
                <w:tcMar>
                  <w:top w:w="100" w:type="dxa"/>
                  <w:left w:w="100" w:type="dxa"/>
                  <w:bottom w:w="100" w:type="dxa"/>
                  <w:right w:w="100" w:type="dxa"/>
                </w:tcMar>
              </w:tcPr>
              <w:p w14:paraId="70A850F6"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Requirements must be measurable and verifiable. See ISO/IEC Directives, Part 2, </w:t>
                </w:r>
                <w:hyperlink r:id="rId27" w:anchor="_idTextAnchor005">
                  <w:r>
                    <w:rPr>
                      <w:rFonts w:ascii="Arial" w:eastAsia="Arial" w:hAnsi="Arial" w:cs="Arial"/>
                      <w:color w:val="1155CC"/>
                      <w:sz w:val="20"/>
                      <w:szCs w:val="20"/>
                      <w:u w:val="single"/>
                    </w:rPr>
                    <w:t>Clause 33</w:t>
                  </w:r>
                </w:hyperlink>
                <w:r>
                  <w:rPr>
                    <w:rFonts w:ascii="Arial" w:eastAsia="Arial" w:hAnsi="Arial" w:cs="Arial"/>
                    <w:sz w:val="20"/>
                    <w:szCs w:val="20"/>
                  </w:rPr>
                  <w:t>.</w:t>
                </w:r>
              </w:p>
            </w:tc>
          </w:tr>
          <w:tr w:rsidR="0011495C" w14:paraId="772635CF" w14:textId="77777777">
            <w:tc>
              <w:tcPr>
                <w:tcW w:w="3360" w:type="dxa"/>
                <w:tcMar>
                  <w:top w:w="100" w:type="dxa"/>
                  <w:left w:w="100" w:type="dxa"/>
                  <w:bottom w:w="100" w:type="dxa"/>
                  <w:right w:w="100" w:type="dxa"/>
                </w:tcMar>
              </w:tcPr>
              <w:p w14:paraId="4A532B10"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RFC Verbal Compliance</w:t>
                </w:r>
              </w:p>
            </w:tc>
            <w:tc>
              <w:tcPr>
                <w:tcW w:w="3360" w:type="dxa"/>
                <w:tcMar>
                  <w:top w:w="100" w:type="dxa"/>
                  <w:left w:w="100" w:type="dxa"/>
                  <w:bottom w:w="100" w:type="dxa"/>
                  <w:right w:w="100" w:type="dxa"/>
                </w:tcMar>
              </w:tcPr>
              <w:p w14:paraId="73A7EFF5"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Replace RFC 2119 uppercase keywords (MUST, SHOULD, MAY) with ISO verbal forms (shall, should, may).</w:t>
                </w:r>
              </w:p>
            </w:tc>
            <w:tc>
              <w:tcPr>
                <w:tcW w:w="3360" w:type="dxa"/>
                <w:tcMar>
                  <w:top w:w="100" w:type="dxa"/>
                  <w:left w:w="100" w:type="dxa"/>
                  <w:bottom w:w="100" w:type="dxa"/>
                  <w:right w:w="100" w:type="dxa"/>
                </w:tcMar>
              </w:tcPr>
              <w:p w14:paraId="0CAD8078"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ISO does not recognize RFC keyword conventions. See ISO/IEC Directives, Part 2, </w:t>
                </w:r>
                <w:hyperlink r:id="rId28" w:anchor="_idTextAnchor005">
                  <w:r>
                    <w:rPr>
                      <w:rFonts w:ascii="Arial" w:eastAsia="Arial" w:hAnsi="Arial" w:cs="Arial"/>
                      <w:color w:val="1155CC"/>
                      <w:sz w:val="20"/>
                      <w:szCs w:val="20"/>
                      <w:u w:val="single"/>
                    </w:rPr>
                    <w:t>Clause 7</w:t>
                  </w:r>
                </w:hyperlink>
                <w:r>
                  <w:rPr>
                    <w:rFonts w:ascii="Arial" w:eastAsia="Arial" w:hAnsi="Arial" w:cs="Arial"/>
                    <w:sz w:val="20"/>
                    <w:szCs w:val="20"/>
                  </w:rPr>
                  <w:t>.</w:t>
                </w:r>
              </w:p>
            </w:tc>
          </w:tr>
          <w:tr w:rsidR="0011495C" w14:paraId="333CB19B" w14:textId="77777777">
            <w:tc>
              <w:tcPr>
                <w:tcW w:w="3360" w:type="dxa"/>
                <w:tcMar>
                  <w:top w:w="100" w:type="dxa"/>
                  <w:left w:w="100" w:type="dxa"/>
                  <w:bottom w:w="100" w:type="dxa"/>
                  <w:right w:w="100" w:type="dxa"/>
                </w:tcMar>
              </w:tcPr>
              <w:p w14:paraId="0FEB4B93"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Introduction Compliance</w:t>
                </w:r>
              </w:p>
            </w:tc>
            <w:tc>
              <w:tcPr>
                <w:tcW w:w="3360" w:type="dxa"/>
                <w:tcMar>
                  <w:top w:w="100" w:type="dxa"/>
                  <w:left w:w="100" w:type="dxa"/>
                  <w:bottom w:w="100" w:type="dxa"/>
                  <w:right w:w="100" w:type="dxa"/>
                </w:tcMar>
              </w:tcPr>
              <w:p w14:paraId="50BF062A"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Remove all requirements, permissions, recommendations, and implementation rules from the Introduction.</w:t>
                </w:r>
              </w:p>
            </w:tc>
            <w:tc>
              <w:tcPr>
                <w:tcW w:w="3360" w:type="dxa"/>
                <w:tcMar>
                  <w:top w:w="100" w:type="dxa"/>
                  <w:left w:w="100" w:type="dxa"/>
                  <w:bottom w:w="100" w:type="dxa"/>
                  <w:right w:w="100" w:type="dxa"/>
                </w:tcMar>
              </w:tcPr>
              <w:p w14:paraId="4B5C6933"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The Introduction is informative only. See ISO/IEC Directives, Part 2, </w:t>
                </w:r>
                <w:hyperlink r:id="rId29" w:anchor="_idTextAnchor005">
                  <w:r>
                    <w:rPr>
                      <w:rFonts w:ascii="Arial" w:eastAsia="Arial" w:hAnsi="Arial" w:cs="Arial"/>
                      <w:color w:val="1155CC"/>
                      <w:sz w:val="20"/>
                      <w:szCs w:val="20"/>
                      <w:u w:val="single"/>
                    </w:rPr>
                    <w:t>Clause 13</w:t>
                  </w:r>
                </w:hyperlink>
                <w:r>
                  <w:rPr>
                    <w:rFonts w:ascii="Arial" w:eastAsia="Arial" w:hAnsi="Arial" w:cs="Arial"/>
                    <w:sz w:val="20"/>
                    <w:szCs w:val="20"/>
                  </w:rPr>
                  <w:t>.</w:t>
                </w:r>
              </w:p>
            </w:tc>
          </w:tr>
          <w:tr w:rsidR="0011495C" w14:paraId="30B0588D" w14:textId="77777777">
            <w:tc>
              <w:tcPr>
                <w:tcW w:w="3360" w:type="dxa"/>
                <w:tcMar>
                  <w:top w:w="100" w:type="dxa"/>
                  <w:left w:w="100" w:type="dxa"/>
                  <w:bottom w:w="100" w:type="dxa"/>
                  <w:right w:w="100" w:type="dxa"/>
                </w:tcMar>
              </w:tcPr>
              <w:p w14:paraId="3A764640"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Informative Annex Compliance</w:t>
                </w:r>
              </w:p>
            </w:tc>
            <w:tc>
              <w:tcPr>
                <w:tcW w:w="3360" w:type="dxa"/>
                <w:tcMar>
                  <w:top w:w="100" w:type="dxa"/>
                  <w:left w:w="100" w:type="dxa"/>
                  <w:bottom w:w="100" w:type="dxa"/>
                  <w:right w:w="100" w:type="dxa"/>
                </w:tcMar>
              </w:tcPr>
              <w:p w14:paraId="6671CEE7"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Remove normative language from all informative annexes.</w:t>
                </w:r>
              </w:p>
            </w:tc>
            <w:tc>
              <w:tcPr>
                <w:tcW w:w="3360" w:type="dxa"/>
                <w:tcMar>
                  <w:top w:w="100" w:type="dxa"/>
                  <w:left w:w="100" w:type="dxa"/>
                  <w:bottom w:w="100" w:type="dxa"/>
                  <w:right w:w="100" w:type="dxa"/>
                </w:tcMar>
              </w:tcPr>
              <w:p w14:paraId="371B62F6"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Informative annexes shall not contain requirements. See ISO/IEC </w:t>
                </w:r>
                <w:r>
                  <w:rPr>
                    <w:rFonts w:ascii="Arial" w:eastAsia="Arial" w:hAnsi="Arial" w:cs="Arial"/>
                    <w:sz w:val="20"/>
                    <w:szCs w:val="20"/>
                  </w:rPr>
                  <w:lastRenderedPageBreak/>
                  <w:t xml:space="preserve">Directives, Part 2, </w:t>
                </w:r>
                <w:hyperlink r:id="rId30" w:anchor="_idTextAnchor005">
                  <w:r>
                    <w:rPr>
                      <w:rFonts w:ascii="Arial" w:eastAsia="Arial" w:hAnsi="Arial" w:cs="Arial"/>
                      <w:color w:val="1155CC"/>
                      <w:sz w:val="20"/>
                      <w:szCs w:val="20"/>
                      <w:u w:val="single"/>
                    </w:rPr>
                    <w:t>Clause 20.2</w:t>
                  </w:r>
                </w:hyperlink>
                <w:r>
                  <w:rPr>
                    <w:rFonts w:ascii="Arial" w:eastAsia="Arial" w:hAnsi="Arial" w:cs="Arial"/>
                    <w:sz w:val="20"/>
                    <w:szCs w:val="20"/>
                  </w:rPr>
                  <w:t>.</w:t>
                </w:r>
              </w:p>
            </w:tc>
          </w:tr>
          <w:tr w:rsidR="0011495C" w14:paraId="13A84001" w14:textId="77777777">
            <w:tc>
              <w:tcPr>
                <w:tcW w:w="3360" w:type="dxa"/>
                <w:tcMar>
                  <w:top w:w="100" w:type="dxa"/>
                  <w:left w:w="100" w:type="dxa"/>
                  <w:bottom w:w="100" w:type="dxa"/>
                  <w:right w:w="100" w:type="dxa"/>
                </w:tcMar>
              </w:tcPr>
              <w:p w14:paraId="7841E340"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lastRenderedPageBreak/>
                  <w:t>Annex Naming</w:t>
                </w:r>
              </w:p>
            </w:tc>
            <w:tc>
              <w:tcPr>
                <w:tcW w:w="3360" w:type="dxa"/>
                <w:tcMar>
                  <w:top w:w="100" w:type="dxa"/>
                  <w:left w:w="100" w:type="dxa"/>
                  <w:bottom w:w="100" w:type="dxa"/>
                  <w:right w:w="100" w:type="dxa"/>
                </w:tcMar>
              </w:tcPr>
              <w:p w14:paraId="12B7F9C6"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Rename Appendix A/B/C to Annex A (normative), Annex B (informative), and Annex C (informative).</w:t>
                </w:r>
              </w:p>
            </w:tc>
            <w:tc>
              <w:tcPr>
                <w:tcW w:w="3360" w:type="dxa"/>
                <w:tcMar>
                  <w:top w:w="100" w:type="dxa"/>
                  <w:left w:w="100" w:type="dxa"/>
                  <w:bottom w:w="100" w:type="dxa"/>
                  <w:right w:w="100" w:type="dxa"/>
                </w:tcMar>
              </w:tcPr>
              <w:p w14:paraId="36F5ED95"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ISO does not use the term “Appendix”. See ISO/IEC Directives, Part 2, </w:t>
                </w:r>
                <w:hyperlink r:id="rId31" w:anchor="_idTextAnchor005">
                  <w:r>
                    <w:rPr>
                      <w:rFonts w:ascii="Arial" w:eastAsia="Arial" w:hAnsi="Arial" w:cs="Arial"/>
                      <w:color w:val="1155CC"/>
                      <w:sz w:val="20"/>
                      <w:szCs w:val="20"/>
                      <w:u w:val="single"/>
                    </w:rPr>
                    <w:t>Clause 20</w:t>
                  </w:r>
                </w:hyperlink>
                <w:r>
                  <w:rPr>
                    <w:rFonts w:ascii="Arial" w:eastAsia="Arial" w:hAnsi="Arial" w:cs="Arial"/>
                    <w:sz w:val="20"/>
                    <w:szCs w:val="20"/>
                  </w:rPr>
                  <w:t>.</w:t>
                </w:r>
              </w:p>
            </w:tc>
          </w:tr>
          <w:tr w:rsidR="0011495C" w14:paraId="13D5C9DA" w14:textId="77777777">
            <w:tc>
              <w:tcPr>
                <w:tcW w:w="3360" w:type="dxa"/>
                <w:tcMar>
                  <w:top w:w="100" w:type="dxa"/>
                  <w:left w:w="100" w:type="dxa"/>
                  <w:bottom w:w="100" w:type="dxa"/>
                  <w:right w:w="100" w:type="dxa"/>
                </w:tcMar>
              </w:tcPr>
              <w:p w14:paraId="38AC15CB"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Annex Reference Audit</w:t>
                </w:r>
              </w:p>
            </w:tc>
            <w:tc>
              <w:tcPr>
                <w:tcW w:w="3360" w:type="dxa"/>
                <w:tcMar>
                  <w:top w:w="100" w:type="dxa"/>
                  <w:left w:w="100" w:type="dxa"/>
                  <w:bottom w:w="100" w:type="dxa"/>
                  <w:right w:w="100" w:type="dxa"/>
                </w:tcMar>
              </w:tcPr>
              <w:p w14:paraId="3CCCE5C3"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Ensure Annexes A, B, and C are explicitly referenced from the body text.</w:t>
                </w:r>
              </w:p>
            </w:tc>
            <w:tc>
              <w:tcPr>
                <w:tcW w:w="3360" w:type="dxa"/>
                <w:tcMar>
                  <w:top w:w="100" w:type="dxa"/>
                  <w:left w:w="100" w:type="dxa"/>
                  <w:bottom w:w="100" w:type="dxa"/>
                  <w:right w:w="100" w:type="dxa"/>
                </w:tcMar>
              </w:tcPr>
              <w:p w14:paraId="1B973B97"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Unreferenced annexes are commonly flagged during editorial review. See ISO/IEC Directives, Part 2, </w:t>
                </w:r>
                <w:hyperlink r:id="rId32" w:anchor="_idTextAnchor005">
                  <w:r>
                    <w:rPr>
                      <w:rFonts w:ascii="Arial" w:eastAsia="Arial" w:hAnsi="Arial" w:cs="Arial"/>
                      <w:color w:val="1155CC"/>
                      <w:sz w:val="20"/>
                      <w:szCs w:val="20"/>
                      <w:u w:val="single"/>
                    </w:rPr>
                    <w:t>Clause 20</w:t>
                  </w:r>
                </w:hyperlink>
                <w:r>
                  <w:rPr>
                    <w:rFonts w:ascii="Arial" w:eastAsia="Arial" w:hAnsi="Arial" w:cs="Arial"/>
                    <w:sz w:val="20"/>
                    <w:szCs w:val="20"/>
                  </w:rPr>
                  <w:t>.</w:t>
                </w:r>
              </w:p>
            </w:tc>
          </w:tr>
        </w:tbl>
      </w:sdtContent>
    </w:sdt>
    <w:p w14:paraId="0BAD7A4E" w14:textId="77777777" w:rsidR="0011495C" w:rsidRDefault="0011495C">
      <w:pPr>
        <w:keepLines/>
        <w:widowControl w:val="0"/>
        <w:spacing w:after="200"/>
        <w:rPr>
          <w:rFonts w:ascii="Arial" w:eastAsia="Arial" w:hAnsi="Arial" w:cs="Arial"/>
          <w:sz w:val="20"/>
          <w:szCs w:val="20"/>
        </w:rPr>
      </w:pPr>
    </w:p>
    <w:p w14:paraId="1939A81A" w14:textId="77777777" w:rsidR="0011495C" w:rsidRDefault="00000000">
      <w:pPr>
        <w:keepLines/>
        <w:widowControl w:val="0"/>
        <w:spacing w:after="200"/>
        <w:rPr>
          <w:rFonts w:ascii="Arial" w:eastAsia="Arial" w:hAnsi="Arial" w:cs="Arial"/>
          <w:sz w:val="20"/>
          <w:szCs w:val="20"/>
        </w:rPr>
      </w:pPr>
      <w:r>
        <w:rPr>
          <w:rFonts w:ascii="Arial" w:eastAsia="Arial" w:hAnsi="Arial" w:cs="Arial"/>
          <w:b/>
          <w:bCs/>
          <w:sz w:val="20"/>
          <w:szCs w:val="20"/>
        </w:rPr>
        <w:t>Phase 2</w:t>
      </w:r>
    </w:p>
    <w:sdt>
      <w:sdtPr>
        <w:tag w:val="goog_rdk_1"/>
        <w:id w:val="2074426446"/>
        <w:lock w:val="contentLocked"/>
      </w:sdtPr>
      <w:sdtContent>
        <w:tbl>
          <w:tblPr>
            <w:tblStyle w:val="a0"/>
            <w:tblW w:w="1008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360"/>
            <w:gridCol w:w="3360"/>
            <w:gridCol w:w="3360"/>
          </w:tblGrid>
          <w:tr w:rsidR="0011495C" w14:paraId="559E78FC" w14:textId="77777777">
            <w:tc>
              <w:tcPr>
                <w:tcW w:w="3360" w:type="dxa"/>
                <w:tcMar>
                  <w:top w:w="100" w:type="dxa"/>
                  <w:left w:w="100" w:type="dxa"/>
                  <w:bottom w:w="100" w:type="dxa"/>
                  <w:right w:w="100" w:type="dxa"/>
                </w:tcMar>
              </w:tcPr>
              <w:p w14:paraId="53F2B5E6" w14:textId="77777777" w:rsidR="0011495C" w:rsidRDefault="00000000">
                <w:pPr>
                  <w:widowControl w:val="0"/>
                  <w:rPr>
                    <w:rFonts w:ascii="Arial" w:eastAsia="Arial" w:hAnsi="Arial" w:cs="Arial"/>
                    <w:b/>
                    <w:bCs/>
                    <w:sz w:val="20"/>
                    <w:szCs w:val="20"/>
                  </w:rPr>
                </w:pPr>
                <w:r>
                  <w:rPr>
                    <w:rFonts w:ascii="Arial" w:eastAsia="Arial" w:hAnsi="Arial" w:cs="Arial"/>
                    <w:b/>
                    <w:bCs/>
                    <w:sz w:val="20"/>
                    <w:szCs w:val="20"/>
                  </w:rPr>
                  <w:t>Feature</w:t>
                </w:r>
              </w:p>
            </w:tc>
            <w:tc>
              <w:tcPr>
                <w:tcW w:w="3360" w:type="dxa"/>
                <w:tcMar>
                  <w:top w:w="100" w:type="dxa"/>
                  <w:left w:w="100" w:type="dxa"/>
                  <w:bottom w:w="100" w:type="dxa"/>
                  <w:right w:w="100" w:type="dxa"/>
                </w:tcMar>
              </w:tcPr>
              <w:p w14:paraId="21392B32" w14:textId="77777777" w:rsidR="0011495C" w:rsidRDefault="00000000">
                <w:pPr>
                  <w:widowControl w:val="0"/>
                  <w:rPr>
                    <w:rFonts w:ascii="Arial" w:eastAsia="Arial" w:hAnsi="Arial" w:cs="Arial"/>
                    <w:b/>
                    <w:bCs/>
                    <w:sz w:val="20"/>
                    <w:szCs w:val="20"/>
                  </w:rPr>
                </w:pPr>
                <w:r>
                  <w:rPr>
                    <w:rFonts w:ascii="Arial" w:eastAsia="Arial" w:hAnsi="Arial" w:cs="Arial"/>
                    <w:b/>
                    <w:bCs/>
                    <w:sz w:val="20"/>
                    <w:szCs w:val="20"/>
                  </w:rPr>
                  <w:t>Action Needed</w:t>
                </w:r>
              </w:p>
            </w:tc>
            <w:tc>
              <w:tcPr>
                <w:tcW w:w="3360" w:type="dxa"/>
                <w:tcMar>
                  <w:top w:w="100" w:type="dxa"/>
                  <w:left w:w="100" w:type="dxa"/>
                  <w:bottom w:w="100" w:type="dxa"/>
                  <w:right w:w="100" w:type="dxa"/>
                </w:tcMar>
              </w:tcPr>
              <w:p w14:paraId="293AF38F" w14:textId="77777777" w:rsidR="0011495C" w:rsidRDefault="00000000">
                <w:pPr>
                  <w:widowControl w:val="0"/>
                  <w:rPr>
                    <w:rFonts w:ascii="Arial" w:eastAsia="Arial" w:hAnsi="Arial" w:cs="Arial"/>
                    <w:b/>
                    <w:bCs/>
                    <w:sz w:val="20"/>
                    <w:szCs w:val="20"/>
                  </w:rPr>
                </w:pPr>
                <w:r>
                  <w:rPr>
                    <w:rFonts w:ascii="Arial" w:eastAsia="Arial" w:hAnsi="Arial" w:cs="Arial"/>
                    <w:b/>
                    <w:bCs/>
                    <w:sz w:val="20"/>
                    <w:szCs w:val="20"/>
                  </w:rPr>
                  <w:t>Comment/Links</w:t>
                </w:r>
              </w:p>
            </w:tc>
          </w:tr>
          <w:tr w:rsidR="0011495C" w14:paraId="77A5573B" w14:textId="77777777">
            <w:tc>
              <w:tcPr>
                <w:tcW w:w="3360" w:type="dxa"/>
                <w:tcMar>
                  <w:top w:w="100" w:type="dxa"/>
                  <w:left w:w="100" w:type="dxa"/>
                  <w:bottom w:w="100" w:type="dxa"/>
                  <w:right w:w="100" w:type="dxa"/>
                </w:tcMar>
              </w:tcPr>
              <w:p w14:paraId="3B9432B0"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Cross-Reference Normalization</w:t>
                </w:r>
              </w:p>
            </w:tc>
            <w:tc>
              <w:tcPr>
                <w:tcW w:w="3360" w:type="dxa"/>
                <w:tcMar>
                  <w:top w:w="100" w:type="dxa"/>
                  <w:left w:w="100" w:type="dxa"/>
                  <w:bottom w:w="100" w:type="dxa"/>
                  <w:right w:w="100" w:type="dxa"/>
                </w:tcMar>
              </w:tcPr>
              <w:p w14:paraId="3F696D4B"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Replace Markdown anchors and informal references with ISO clause references.</w:t>
                </w:r>
              </w:p>
            </w:tc>
            <w:tc>
              <w:tcPr>
                <w:tcW w:w="3360" w:type="dxa"/>
                <w:tcMar>
                  <w:top w:w="100" w:type="dxa"/>
                  <w:left w:w="100" w:type="dxa"/>
                  <w:bottom w:w="100" w:type="dxa"/>
                  <w:right w:w="100" w:type="dxa"/>
                </w:tcMar>
              </w:tcPr>
              <w:p w14:paraId="4A92AA8A"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References should use forms such as “see 7.3.2” or “see Annex A”. See ISO/IEC Directives, Part 2, </w:t>
                </w:r>
                <w:hyperlink r:id="rId33" w:anchor="_idTextAnchor005">
                  <w:r>
                    <w:rPr>
                      <w:rFonts w:ascii="Arial" w:eastAsia="Arial" w:hAnsi="Arial" w:cs="Arial"/>
                      <w:color w:val="1155CC"/>
                      <w:sz w:val="20"/>
                      <w:szCs w:val="20"/>
                      <w:u w:val="single"/>
                    </w:rPr>
                    <w:t>Clause 10</w:t>
                  </w:r>
                </w:hyperlink>
                <w:r>
                  <w:rPr>
                    <w:rFonts w:ascii="Arial" w:eastAsia="Arial" w:hAnsi="Arial" w:cs="Arial"/>
                    <w:sz w:val="20"/>
                    <w:szCs w:val="20"/>
                  </w:rPr>
                  <w:t>.</w:t>
                </w:r>
              </w:p>
            </w:tc>
          </w:tr>
          <w:tr w:rsidR="0011495C" w14:paraId="6624342F" w14:textId="77777777">
            <w:tc>
              <w:tcPr>
                <w:tcW w:w="3360" w:type="dxa"/>
                <w:tcMar>
                  <w:top w:w="100" w:type="dxa"/>
                  <w:left w:w="100" w:type="dxa"/>
                  <w:bottom w:w="100" w:type="dxa"/>
                  <w:right w:w="100" w:type="dxa"/>
                </w:tcMar>
              </w:tcPr>
              <w:p w14:paraId="1D10703E"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Hanging Paragraph Subclauses</w:t>
                </w:r>
              </w:p>
            </w:tc>
            <w:tc>
              <w:tcPr>
                <w:tcW w:w="3360" w:type="dxa"/>
                <w:tcMar>
                  <w:top w:w="100" w:type="dxa"/>
                  <w:left w:w="100" w:type="dxa"/>
                  <w:bottom w:w="100" w:type="dxa"/>
                  <w:right w:w="100" w:type="dxa"/>
                </w:tcMar>
              </w:tcPr>
              <w:p w14:paraId="1AAEAD1A"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Insert “General” subclauses beneath major clauses before introducing subordinate subclauses.</w:t>
                </w:r>
              </w:p>
            </w:tc>
            <w:tc>
              <w:tcPr>
                <w:tcW w:w="3360" w:type="dxa"/>
                <w:tcMar>
                  <w:top w:w="100" w:type="dxa"/>
                  <w:left w:w="100" w:type="dxa"/>
                  <w:bottom w:w="100" w:type="dxa"/>
                  <w:right w:w="100" w:type="dxa"/>
                </w:tcMar>
              </w:tcPr>
              <w:p w14:paraId="3A338939"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Prevents hanging paragraphs and ambiguous clause structures. See ISO/IEC Directives, Part 2, </w:t>
                </w:r>
                <w:hyperlink r:id="rId34" w:anchor="_idTextAnchor005">
                  <w:r>
                    <w:rPr>
                      <w:rFonts w:ascii="Arial" w:eastAsia="Arial" w:hAnsi="Arial" w:cs="Arial"/>
                      <w:color w:val="1155CC"/>
                      <w:sz w:val="20"/>
                      <w:szCs w:val="20"/>
                      <w:u w:val="single"/>
                    </w:rPr>
                    <w:t>Clause 22.3.3</w:t>
                  </w:r>
                </w:hyperlink>
                <w:r>
                  <w:rPr>
                    <w:rFonts w:ascii="Arial" w:eastAsia="Arial" w:hAnsi="Arial" w:cs="Arial"/>
                    <w:sz w:val="20"/>
                    <w:szCs w:val="20"/>
                  </w:rPr>
                  <w:t>.</w:t>
                </w:r>
              </w:p>
            </w:tc>
          </w:tr>
          <w:tr w:rsidR="0011495C" w14:paraId="55490464" w14:textId="77777777">
            <w:tc>
              <w:tcPr>
                <w:tcW w:w="3360" w:type="dxa"/>
                <w:tcMar>
                  <w:top w:w="100" w:type="dxa"/>
                  <w:left w:w="100" w:type="dxa"/>
                  <w:bottom w:w="100" w:type="dxa"/>
                  <w:right w:w="100" w:type="dxa"/>
                </w:tcMar>
              </w:tcPr>
              <w:p w14:paraId="15F2DF2B"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Orphan Subclause Remediation</w:t>
                </w:r>
              </w:p>
            </w:tc>
            <w:tc>
              <w:tcPr>
                <w:tcW w:w="3360" w:type="dxa"/>
                <w:tcMar>
                  <w:top w:w="100" w:type="dxa"/>
                  <w:left w:w="100" w:type="dxa"/>
                  <w:bottom w:w="100" w:type="dxa"/>
                  <w:right w:w="100" w:type="dxa"/>
                </w:tcMar>
              </w:tcPr>
              <w:p w14:paraId="21684446"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Ensure any clause containing a subclause .1 also contains a .2 or merge the subdivision back into the parent clause.</w:t>
                </w:r>
              </w:p>
            </w:tc>
            <w:tc>
              <w:tcPr>
                <w:tcW w:w="3360" w:type="dxa"/>
                <w:tcMar>
                  <w:top w:w="100" w:type="dxa"/>
                  <w:left w:w="100" w:type="dxa"/>
                  <w:bottom w:w="100" w:type="dxa"/>
                  <w:right w:w="100" w:type="dxa"/>
                </w:tcMar>
              </w:tcPr>
              <w:p w14:paraId="380FE821"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ISO numbering rules prohibit single-child subdivisions. See ISO/IEC Directives, Part 2, </w:t>
                </w:r>
                <w:hyperlink r:id="rId35" w:anchor="_idTextAnchor005">
                  <w:r>
                    <w:rPr>
                      <w:rFonts w:ascii="Arial" w:eastAsia="Arial" w:hAnsi="Arial" w:cs="Arial"/>
                      <w:color w:val="1155CC"/>
                      <w:sz w:val="20"/>
                      <w:szCs w:val="20"/>
                      <w:u w:val="single"/>
                    </w:rPr>
                    <w:t>Clause 22.3.2</w:t>
                  </w:r>
                </w:hyperlink>
                <w:r>
                  <w:rPr>
                    <w:rFonts w:ascii="Arial" w:eastAsia="Arial" w:hAnsi="Arial" w:cs="Arial"/>
                    <w:sz w:val="20"/>
                    <w:szCs w:val="20"/>
                  </w:rPr>
                  <w:t>.</w:t>
                </w:r>
              </w:p>
            </w:tc>
          </w:tr>
          <w:tr w:rsidR="0011495C" w14:paraId="170D5CB6" w14:textId="77777777">
            <w:tc>
              <w:tcPr>
                <w:tcW w:w="3360" w:type="dxa"/>
                <w:tcMar>
                  <w:top w:w="100" w:type="dxa"/>
                  <w:left w:w="100" w:type="dxa"/>
                  <w:bottom w:w="100" w:type="dxa"/>
                  <w:right w:w="100" w:type="dxa"/>
                </w:tcMar>
              </w:tcPr>
              <w:p w14:paraId="6D3A5853"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XML Tag Typography</w:t>
                </w:r>
              </w:p>
            </w:tc>
            <w:tc>
              <w:tcPr>
                <w:tcW w:w="3360" w:type="dxa"/>
                <w:tcMar>
                  <w:top w:w="100" w:type="dxa"/>
                  <w:left w:w="100" w:type="dxa"/>
                  <w:bottom w:w="100" w:type="dxa"/>
                  <w:right w:w="100" w:type="dxa"/>
                </w:tcMar>
              </w:tcPr>
              <w:p w14:paraId="725B6CD9"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Apply consistent literal formatting to element names, attributes, markup fragments, and grammar symbols.</w:t>
                </w:r>
              </w:p>
            </w:tc>
            <w:tc>
              <w:tcPr>
                <w:tcW w:w="3360" w:type="dxa"/>
                <w:tcMar>
                  <w:top w:w="100" w:type="dxa"/>
                  <w:left w:w="100" w:type="dxa"/>
                  <w:bottom w:w="100" w:type="dxa"/>
                  <w:right w:w="100" w:type="dxa"/>
                </w:tcMar>
              </w:tcPr>
              <w:p w14:paraId="386BB50C"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Distinguishes identifiers from prose and reduces ambiguity. See</w:t>
                </w:r>
                <w:hyperlink r:id="rId36" w:anchor="_idTextAnchor005">
                  <w:r>
                    <w:rPr>
                      <w:rFonts w:ascii="Arial" w:eastAsia="Arial" w:hAnsi="Arial" w:cs="Arial"/>
                      <w:color w:val="1155CC"/>
                      <w:sz w:val="20"/>
                      <w:szCs w:val="20"/>
                      <w:u w:val="single"/>
                    </w:rPr>
                    <w:t xml:space="preserve"> ISO/IEC Directives, Part 2, Clauses 9</w:t>
                  </w:r>
                </w:hyperlink>
                <w:r>
                  <w:rPr>
                    <w:rFonts w:ascii="Arial" w:eastAsia="Arial" w:hAnsi="Arial" w:cs="Arial"/>
                    <w:sz w:val="20"/>
                    <w:szCs w:val="20"/>
                  </w:rPr>
                  <w:t xml:space="preserve"> and </w:t>
                </w:r>
                <w:hyperlink r:id="rId37" w:anchor="_idTextAnchor005">
                  <w:r>
                    <w:rPr>
                      <w:rFonts w:ascii="Arial" w:eastAsia="Arial" w:hAnsi="Arial" w:cs="Arial"/>
                      <w:color w:val="1155CC"/>
                      <w:sz w:val="20"/>
                      <w:szCs w:val="20"/>
                      <w:u w:val="single"/>
                    </w:rPr>
                    <w:t>24</w:t>
                  </w:r>
                </w:hyperlink>
                <w:r>
                  <w:rPr>
                    <w:rFonts w:ascii="Arial" w:eastAsia="Arial" w:hAnsi="Arial" w:cs="Arial"/>
                    <w:sz w:val="20"/>
                    <w:szCs w:val="20"/>
                  </w:rPr>
                  <w:t>.</w:t>
                </w:r>
              </w:p>
            </w:tc>
          </w:tr>
          <w:tr w:rsidR="0011495C" w14:paraId="7EB82C8B" w14:textId="77777777">
            <w:tc>
              <w:tcPr>
                <w:tcW w:w="3360" w:type="dxa"/>
                <w:tcMar>
                  <w:top w:w="100" w:type="dxa"/>
                  <w:left w:w="100" w:type="dxa"/>
                  <w:bottom w:w="100" w:type="dxa"/>
                  <w:right w:w="100" w:type="dxa"/>
                </w:tcMar>
              </w:tcPr>
              <w:p w14:paraId="76AA734D"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Formal Language Notation</w:t>
                </w:r>
              </w:p>
            </w:tc>
            <w:tc>
              <w:tcPr>
                <w:tcW w:w="3360" w:type="dxa"/>
                <w:tcMar>
                  <w:top w:w="100" w:type="dxa"/>
                  <w:left w:w="100" w:type="dxa"/>
                  <w:bottom w:w="100" w:type="dxa"/>
                  <w:right w:w="100" w:type="dxa"/>
                </w:tcMar>
              </w:tcPr>
              <w:p w14:paraId="0416523A"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Introduce a dedicated clause describing any normative grammar notation, schema language, or syntax conventions.</w:t>
                </w:r>
              </w:p>
            </w:tc>
            <w:tc>
              <w:tcPr>
                <w:tcW w:w="3360" w:type="dxa"/>
                <w:tcMar>
                  <w:top w:w="100" w:type="dxa"/>
                  <w:left w:w="100" w:type="dxa"/>
                  <w:bottom w:w="100" w:type="dxa"/>
                  <w:right w:w="100" w:type="dxa"/>
                </w:tcMar>
              </w:tcPr>
              <w:p w14:paraId="675D3B48"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Formal languages should be specified using recognized notation rather than examples alone. See ISO/IEC Directives, Part 2, </w:t>
                </w:r>
                <w:hyperlink r:id="rId38" w:anchor="_idTextAnchor005">
                  <w:r>
                    <w:rPr>
                      <w:rFonts w:ascii="Arial" w:eastAsia="Arial" w:hAnsi="Arial" w:cs="Arial"/>
                      <w:color w:val="1155CC"/>
                      <w:sz w:val="20"/>
                      <w:szCs w:val="20"/>
                      <w:u w:val="single"/>
                    </w:rPr>
                    <w:t>Clause 9.2</w:t>
                  </w:r>
                </w:hyperlink>
                <w:r>
                  <w:rPr>
                    <w:rFonts w:ascii="Arial" w:eastAsia="Arial" w:hAnsi="Arial" w:cs="Arial"/>
                    <w:sz w:val="20"/>
                    <w:szCs w:val="20"/>
                  </w:rPr>
                  <w:t>.</w:t>
                </w:r>
              </w:p>
            </w:tc>
          </w:tr>
          <w:tr w:rsidR="0011495C" w14:paraId="2E289479" w14:textId="77777777">
            <w:tc>
              <w:tcPr>
                <w:tcW w:w="3360" w:type="dxa"/>
                <w:tcMar>
                  <w:top w:w="100" w:type="dxa"/>
                  <w:left w:w="100" w:type="dxa"/>
                  <w:bottom w:w="100" w:type="dxa"/>
                  <w:right w:w="100" w:type="dxa"/>
                </w:tcMar>
              </w:tcPr>
              <w:p w14:paraId="7A91C635"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Attribute Value Enumerations</w:t>
                </w:r>
              </w:p>
            </w:tc>
            <w:tc>
              <w:tcPr>
                <w:tcW w:w="3360" w:type="dxa"/>
                <w:tcMar>
                  <w:top w:w="100" w:type="dxa"/>
                  <w:left w:w="100" w:type="dxa"/>
                  <w:bottom w:w="100" w:type="dxa"/>
                  <w:right w:w="100" w:type="dxa"/>
                </w:tcMar>
              </w:tcPr>
              <w:p w14:paraId="456DC6E1"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Consolidate controlled vocabularies and attribute values into structured tables or formal rules.</w:t>
                </w:r>
              </w:p>
            </w:tc>
            <w:tc>
              <w:tcPr>
                <w:tcW w:w="3360" w:type="dxa"/>
                <w:tcMar>
                  <w:top w:w="100" w:type="dxa"/>
                  <w:left w:w="100" w:type="dxa"/>
                  <w:bottom w:w="100" w:type="dxa"/>
                  <w:right w:w="100" w:type="dxa"/>
                </w:tcMar>
              </w:tcPr>
              <w:p w14:paraId="1F7387AC"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Improves implementability, validation, and conformance testing. See ISO/IEC Directives, Part 2, </w:t>
                </w:r>
                <w:hyperlink r:id="rId39" w:anchor="_idTextAnchor005">
                  <w:r>
                    <w:rPr>
                      <w:rFonts w:ascii="Arial" w:eastAsia="Arial" w:hAnsi="Arial" w:cs="Arial"/>
                      <w:color w:val="1155CC"/>
                      <w:sz w:val="20"/>
                      <w:szCs w:val="20"/>
                      <w:u w:val="single"/>
                    </w:rPr>
                    <w:t>Clause 5.6</w:t>
                  </w:r>
                </w:hyperlink>
                <w:r>
                  <w:rPr>
                    <w:rFonts w:ascii="Arial" w:eastAsia="Arial" w:hAnsi="Arial" w:cs="Arial"/>
                    <w:sz w:val="20"/>
                    <w:szCs w:val="20"/>
                  </w:rPr>
                  <w:t xml:space="preserve"> &amp; </w:t>
                </w:r>
                <w:hyperlink r:id="rId40" w:anchor="_idTextAnchor005">
                  <w:r>
                    <w:rPr>
                      <w:rFonts w:ascii="Arial" w:eastAsia="Arial" w:hAnsi="Arial" w:cs="Arial"/>
                      <w:color w:val="1155CC"/>
                      <w:sz w:val="20"/>
                      <w:szCs w:val="20"/>
                      <w:u w:val="single"/>
                    </w:rPr>
                    <w:t>Clause 29</w:t>
                  </w:r>
                </w:hyperlink>
                <w:r>
                  <w:rPr>
                    <w:rFonts w:ascii="Arial" w:eastAsia="Arial" w:hAnsi="Arial" w:cs="Arial"/>
                    <w:sz w:val="20"/>
                    <w:szCs w:val="20"/>
                  </w:rPr>
                  <w:t>.</w:t>
                </w:r>
              </w:p>
            </w:tc>
          </w:tr>
          <w:tr w:rsidR="0011495C" w14:paraId="22B5FAEB" w14:textId="77777777">
            <w:tc>
              <w:tcPr>
                <w:tcW w:w="3360" w:type="dxa"/>
                <w:tcMar>
                  <w:top w:w="100" w:type="dxa"/>
                  <w:left w:w="100" w:type="dxa"/>
                  <w:bottom w:w="100" w:type="dxa"/>
                  <w:right w:w="100" w:type="dxa"/>
                </w:tcMar>
              </w:tcPr>
              <w:p w14:paraId="65D4A844"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Number Formatting</w:t>
                </w:r>
              </w:p>
            </w:tc>
            <w:tc>
              <w:tcPr>
                <w:tcW w:w="3360" w:type="dxa"/>
                <w:tcMar>
                  <w:top w:w="100" w:type="dxa"/>
                  <w:left w:w="100" w:type="dxa"/>
                  <w:bottom w:w="100" w:type="dxa"/>
                  <w:right w:w="100" w:type="dxa"/>
                </w:tcMar>
              </w:tcPr>
              <w:p w14:paraId="2A482F64"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Replace comma-separated thousands with ISO spacing conventions (e.g., 65 535).</w:t>
                </w:r>
              </w:p>
            </w:tc>
            <w:tc>
              <w:tcPr>
                <w:tcW w:w="3360" w:type="dxa"/>
                <w:tcMar>
                  <w:top w:w="100" w:type="dxa"/>
                  <w:left w:w="100" w:type="dxa"/>
                  <w:bottom w:w="100" w:type="dxa"/>
                  <w:right w:w="100" w:type="dxa"/>
                </w:tcMar>
              </w:tcPr>
              <w:p w14:paraId="2E4EDE61"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See ISO/IEC Directives, Part 2, </w:t>
                </w:r>
                <w:hyperlink r:id="rId41" w:anchor="_idTextAnchor005">
                  <w:r>
                    <w:rPr>
                      <w:rFonts w:ascii="Arial" w:eastAsia="Arial" w:hAnsi="Arial" w:cs="Arial"/>
                      <w:color w:val="1155CC"/>
                      <w:sz w:val="20"/>
                      <w:szCs w:val="20"/>
                      <w:u w:val="single"/>
                    </w:rPr>
                    <w:t>Clause 9.1.</w:t>
                  </w:r>
                </w:hyperlink>
              </w:p>
            </w:tc>
          </w:tr>
          <w:tr w:rsidR="0011495C" w14:paraId="5C59C349" w14:textId="77777777">
            <w:tc>
              <w:tcPr>
                <w:tcW w:w="3360" w:type="dxa"/>
                <w:tcMar>
                  <w:top w:w="100" w:type="dxa"/>
                  <w:left w:w="100" w:type="dxa"/>
                  <w:bottom w:w="100" w:type="dxa"/>
                  <w:right w:w="100" w:type="dxa"/>
                </w:tcMar>
              </w:tcPr>
              <w:p w14:paraId="3A67CE61"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Printable URI / URL Strings</w:t>
                </w:r>
              </w:p>
            </w:tc>
            <w:tc>
              <w:tcPr>
                <w:tcW w:w="3360" w:type="dxa"/>
                <w:tcMar>
                  <w:top w:w="100" w:type="dxa"/>
                  <w:left w:w="100" w:type="dxa"/>
                  <w:bottom w:w="100" w:type="dxa"/>
                  <w:right w:w="100" w:type="dxa"/>
                </w:tcMar>
              </w:tcPr>
              <w:p w14:paraId="3B65443E"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Display explicit URI strings for externally referenced resources.</w:t>
                </w:r>
              </w:p>
            </w:tc>
            <w:tc>
              <w:tcPr>
                <w:tcW w:w="3360" w:type="dxa"/>
                <w:tcMar>
                  <w:top w:w="100" w:type="dxa"/>
                  <w:left w:w="100" w:type="dxa"/>
                  <w:bottom w:w="100" w:type="dxa"/>
                  <w:right w:w="100" w:type="dxa"/>
                </w:tcMar>
              </w:tcPr>
              <w:p w14:paraId="36F7D2AB"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Documents must remain usable when printed. See ISO/IEC </w:t>
                </w:r>
                <w:r>
                  <w:rPr>
                    <w:rFonts w:ascii="Arial" w:eastAsia="Arial" w:hAnsi="Arial" w:cs="Arial"/>
                    <w:sz w:val="20"/>
                    <w:szCs w:val="20"/>
                  </w:rPr>
                  <w:lastRenderedPageBreak/>
                  <w:t xml:space="preserve">Directives, Part 2, </w:t>
                </w:r>
                <w:hyperlink r:id="rId42" w:anchor="_idTextAnchor005">
                  <w:r>
                    <w:rPr>
                      <w:rFonts w:ascii="Arial" w:eastAsia="Arial" w:hAnsi="Arial" w:cs="Arial"/>
                      <w:color w:val="1155CC"/>
                      <w:sz w:val="20"/>
                      <w:szCs w:val="20"/>
                      <w:u w:val="single"/>
                    </w:rPr>
                    <w:t>Clause 10.3</w:t>
                  </w:r>
                </w:hyperlink>
                <w:r>
                  <w:rPr>
                    <w:rFonts w:ascii="Arial" w:eastAsia="Arial" w:hAnsi="Arial" w:cs="Arial"/>
                    <w:sz w:val="20"/>
                    <w:szCs w:val="20"/>
                  </w:rPr>
                  <w:t>.</w:t>
                </w:r>
              </w:p>
            </w:tc>
          </w:tr>
          <w:tr w:rsidR="0011495C" w14:paraId="718DB236" w14:textId="77777777">
            <w:tc>
              <w:tcPr>
                <w:tcW w:w="3360" w:type="dxa"/>
                <w:tcMar>
                  <w:top w:w="100" w:type="dxa"/>
                  <w:left w:w="100" w:type="dxa"/>
                  <w:bottom w:w="100" w:type="dxa"/>
                  <w:right w:w="100" w:type="dxa"/>
                </w:tcMar>
              </w:tcPr>
              <w:p w14:paraId="7AA5A733"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lastRenderedPageBreak/>
                  <w:t>Bi-directional Reference Auditing</w:t>
                </w:r>
              </w:p>
            </w:tc>
            <w:tc>
              <w:tcPr>
                <w:tcW w:w="3360" w:type="dxa"/>
                <w:tcMar>
                  <w:top w:w="100" w:type="dxa"/>
                  <w:left w:w="100" w:type="dxa"/>
                  <w:bottom w:w="100" w:type="dxa"/>
                  <w:right w:w="100" w:type="dxa"/>
                </w:tcMar>
              </w:tcPr>
              <w:p w14:paraId="400C4E02"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Verify that all normative references are cited normatively and all bibliography entries are cited informatively.</w:t>
                </w:r>
              </w:p>
            </w:tc>
            <w:tc>
              <w:tcPr>
                <w:tcW w:w="3360" w:type="dxa"/>
                <w:tcMar>
                  <w:top w:w="100" w:type="dxa"/>
                  <w:left w:w="100" w:type="dxa"/>
                  <w:bottom w:w="100" w:type="dxa"/>
                  <w:right w:w="100" w:type="dxa"/>
                </w:tcMar>
              </w:tcPr>
              <w:p w14:paraId="33196D95"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Orphan references are not permitted. See ISO/IEC Directives, Part 2, </w:t>
                </w:r>
                <w:hyperlink r:id="rId43" w:anchor="_idTextAnchor005">
                  <w:r>
                    <w:rPr>
                      <w:rFonts w:ascii="Arial" w:eastAsia="Arial" w:hAnsi="Arial" w:cs="Arial"/>
                      <w:color w:val="1155CC"/>
                      <w:sz w:val="20"/>
                      <w:szCs w:val="20"/>
                      <w:u w:val="single"/>
                    </w:rPr>
                    <w:t>Clauses 10.1</w:t>
                  </w:r>
                </w:hyperlink>
                <w:r>
                  <w:rPr>
                    <w:rFonts w:ascii="Arial" w:eastAsia="Arial" w:hAnsi="Arial" w:cs="Arial"/>
                    <w:sz w:val="20"/>
                    <w:szCs w:val="20"/>
                  </w:rPr>
                  <w:t xml:space="preserve"> and </w:t>
                </w:r>
                <w:hyperlink r:id="rId44" w:anchor="_idTextAnchor005">
                  <w:r>
                    <w:rPr>
                      <w:rFonts w:ascii="Arial" w:eastAsia="Arial" w:hAnsi="Arial" w:cs="Arial"/>
                      <w:color w:val="1155CC"/>
                      <w:sz w:val="20"/>
                      <w:szCs w:val="20"/>
                      <w:u w:val="single"/>
                    </w:rPr>
                    <w:t>15.1</w:t>
                  </w:r>
                </w:hyperlink>
                <w:r>
                  <w:rPr>
                    <w:rFonts w:ascii="Arial" w:eastAsia="Arial" w:hAnsi="Arial" w:cs="Arial"/>
                    <w:sz w:val="20"/>
                    <w:szCs w:val="20"/>
                  </w:rPr>
                  <w:t>.</w:t>
                </w:r>
              </w:p>
            </w:tc>
          </w:tr>
          <w:tr w:rsidR="0011495C" w14:paraId="3D5EE7D9" w14:textId="77777777">
            <w:tc>
              <w:tcPr>
                <w:tcW w:w="3360" w:type="dxa"/>
                <w:tcMar>
                  <w:top w:w="100" w:type="dxa"/>
                  <w:left w:w="100" w:type="dxa"/>
                  <w:bottom w:w="100" w:type="dxa"/>
                  <w:right w:w="100" w:type="dxa"/>
                </w:tcMar>
              </w:tcPr>
              <w:p w14:paraId="63FAAD96"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Font and Style Normalization</w:t>
                </w:r>
              </w:p>
            </w:tc>
            <w:tc>
              <w:tcPr>
                <w:tcW w:w="3360" w:type="dxa"/>
                <w:tcMar>
                  <w:top w:w="100" w:type="dxa"/>
                  <w:left w:w="100" w:type="dxa"/>
                  <w:bottom w:w="100" w:type="dxa"/>
                  <w:right w:w="100" w:type="dxa"/>
                </w:tcMar>
              </w:tcPr>
              <w:p w14:paraId="22E249F5"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Remove non-standard formatting, decorative boxes, custom colors, and visual styling.</w:t>
                </w:r>
              </w:p>
            </w:tc>
            <w:tc>
              <w:tcPr>
                <w:tcW w:w="3360" w:type="dxa"/>
                <w:tcMar>
                  <w:top w:w="100" w:type="dxa"/>
                  <w:left w:w="100" w:type="dxa"/>
                  <w:bottom w:w="100" w:type="dxa"/>
                  <w:right w:w="100" w:type="dxa"/>
                </w:tcMar>
              </w:tcPr>
              <w:p w14:paraId="5E3BF626"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ISO publishing systems normalize typography and layout automatically. See ISO/IEC Directives, Part 2, </w:t>
                </w:r>
                <w:hyperlink r:id="rId45" w:anchor="_idTextAnchor005">
                  <w:r>
                    <w:rPr>
                      <w:rFonts w:ascii="Arial" w:eastAsia="Arial" w:hAnsi="Arial" w:cs="Arial"/>
                      <w:color w:val="1155CC"/>
                      <w:sz w:val="20"/>
                      <w:szCs w:val="20"/>
                      <w:u w:val="single"/>
                    </w:rPr>
                    <w:t>Clause 1</w:t>
                  </w:r>
                </w:hyperlink>
                <w:r>
                  <w:rPr>
                    <w:rFonts w:ascii="Arial" w:eastAsia="Arial" w:hAnsi="Arial" w:cs="Arial"/>
                    <w:sz w:val="20"/>
                    <w:szCs w:val="20"/>
                  </w:rPr>
                  <w:t>.</w:t>
                </w:r>
              </w:p>
            </w:tc>
          </w:tr>
          <w:tr w:rsidR="0011495C" w14:paraId="4AE1206B" w14:textId="77777777">
            <w:tc>
              <w:tcPr>
                <w:tcW w:w="3360" w:type="dxa"/>
                <w:tcMar>
                  <w:top w:w="100" w:type="dxa"/>
                  <w:left w:w="100" w:type="dxa"/>
                  <w:bottom w:w="100" w:type="dxa"/>
                  <w:right w:w="100" w:type="dxa"/>
                </w:tcMar>
              </w:tcPr>
              <w:p w14:paraId="7CF133B7"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Informative Code / Example Marking</w:t>
                </w:r>
              </w:p>
            </w:tc>
            <w:tc>
              <w:tcPr>
                <w:tcW w:w="3360" w:type="dxa"/>
                <w:tcMar>
                  <w:top w:w="100" w:type="dxa"/>
                  <w:left w:w="100" w:type="dxa"/>
                  <w:bottom w:w="100" w:type="dxa"/>
                  <w:right w:w="100" w:type="dxa"/>
                </w:tcMar>
              </w:tcPr>
              <w:p w14:paraId="4C59E30C"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Label all examples explicitly as EXAMPLE.</w:t>
                </w:r>
              </w:p>
            </w:tc>
            <w:tc>
              <w:tcPr>
                <w:tcW w:w="3360" w:type="dxa"/>
                <w:tcMar>
                  <w:top w:w="100" w:type="dxa"/>
                  <w:left w:w="100" w:type="dxa"/>
                  <w:bottom w:w="100" w:type="dxa"/>
                  <w:right w:w="100" w:type="dxa"/>
                </w:tcMar>
              </w:tcPr>
              <w:p w14:paraId="2F682F08"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Examples must be clearly distinguished from requirements. See ISO/IEC Directives, Part 2, </w:t>
                </w:r>
                <w:hyperlink r:id="rId46" w:anchor="_idTextAnchor005">
                  <w:r>
                    <w:rPr>
                      <w:rFonts w:ascii="Arial" w:eastAsia="Arial" w:hAnsi="Arial" w:cs="Arial"/>
                      <w:color w:val="1155CC"/>
                      <w:sz w:val="20"/>
                      <w:szCs w:val="20"/>
                      <w:u w:val="single"/>
                    </w:rPr>
                    <w:t>Clause 25</w:t>
                  </w:r>
                </w:hyperlink>
                <w:r>
                  <w:rPr>
                    <w:rFonts w:ascii="Arial" w:eastAsia="Arial" w:hAnsi="Arial" w:cs="Arial"/>
                    <w:sz w:val="20"/>
                    <w:szCs w:val="20"/>
                  </w:rPr>
                  <w:t>.</w:t>
                </w:r>
              </w:p>
            </w:tc>
          </w:tr>
          <w:tr w:rsidR="0011495C" w14:paraId="50ECA4F4" w14:textId="77777777">
            <w:tc>
              <w:tcPr>
                <w:tcW w:w="3360" w:type="dxa"/>
                <w:tcMar>
                  <w:top w:w="100" w:type="dxa"/>
                  <w:left w:w="100" w:type="dxa"/>
                  <w:bottom w:w="100" w:type="dxa"/>
                  <w:right w:w="100" w:type="dxa"/>
                </w:tcMar>
              </w:tcPr>
              <w:p w14:paraId="39A592E5"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Example Separation</w:t>
                </w:r>
              </w:p>
            </w:tc>
            <w:tc>
              <w:tcPr>
                <w:tcW w:w="3360" w:type="dxa"/>
                <w:tcMar>
                  <w:top w:w="100" w:type="dxa"/>
                  <w:left w:w="100" w:type="dxa"/>
                  <w:bottom w:w="100" w:type="dxa"/>
                  <w:right w:w="100" w:type="dxa"/>
                </w:tcMar>
              </w:tcPr>
              <w:p w14:paraId="200135DB"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Audit explanatory text surrounding examples to ensure examples cannot be interpreted as normative requirements.</w:t>
                </w:r>
              </w:p>
            </w:tc>
            <w:tc>
              <w:tcPr>
                <w:tcW w:w="3360" w:type="dxa"/>
                <w:tcMar>
                  <w:top w:w="100" w:type="dxa"/>
                  <w:left w:w="100" w:type="dxa"/>
                  <w:bottom w:w="100" w:type="dxa"/>
                  <w:right w:w="100" w:type="dxa"/>
                </w:tcMar>
              </w:tcPr>
              <w:p w14:paraId="697BE427"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Examples are informative only. See ISO/IEC Directives, Part 2, </w:t>
                </w:r>
                <w:hyperlink r:id="rId47" w:anchor="_idTextAnchor005">
                  <w:r>
                    <w:rPr>
                      <w:rFonts w:ascii="Arial" w:eastAsia="Arial" w:hAnsi="Arial" w:cs="Arial"/>
                      <w:color w:val="1155CC"/>
                      <w:sz w:val="20"/>
                      <w:szCs w:val="20"/>
                      <w:u w:val="single"/>
                    </w:rPr>
                    <w:t>Clause 25</w:t>
                  </w:r>
                </w:hyperlink>
                <w:r>
                  <w:rPr>
                    <w:rFonts w:ascii="Arial" w:eastAsia="Arial" w:hAnsi="Arial" w:cs="Arial"/>
                    <w:sz w:val="20"/>
                    <w:szCs w:val="20"/>
                  </w:rPr>
                  <w:t>.</w:t>
                </w:r>
              </w:p>
            </w:tc>
          </w:tr>
          <w:tr w:rsidR="0011495C" w14:paraId="7E13F7CC" w14:textId="77777777">
            <w:tc>
              <w:tcPr>
                <w:tcW w:w="3360" w:type="dxa"/>
                <w:tcMar>
                  <w:top w:w="100" w:type="dxa"/>
                  <w:left w:w="100" w:type="dxa"/>
                  <w:bottom w:w="100" w:type="dxa"/>
                  <w:right w:w="100" w:type="dxa"/>
                </w:tcMar>
              </w:tcPr>
              <w:p w14:paraId="2180F6FD"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Tabular Formats</w:t>
                </w:r>
              </w:p>
            </w:tc>
            <w:tc>
              <w:tcPr>
                <w:tcW w:w="3360" w:type="dxa"/>
                <w:tcMar>
                  <w:top w:w="100" w:type="dxa"/>
                  <w:left w:w="100" w:type="dxa"/>
                  <w:bottom w:w="100" w:type="dxa"/>
                  <w:right w:w="100" w:type="dxa"/>
                </w:tcMar>
              </w:tcPr>
              <w:p w14:paraId="6B901349"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Convert pipe-delimited text tables into proper table structures.</w:t>
                </w:r>
              </w:p>
            </w:tc>
            <w:tc>
              <w:tcPr>
                <w:tcW w:w="3360" w:type="dxa"/>
                <w:tcMar>
                  <w:top w:w="100" w:type="dxa"/>
                  <w:left w:w="100" w:type="dxa"/>
                  <w:bottom w:w="100" w:type="dxa"/>
                  <w:right w:w="100" w:type="dxa"/>
                </w:tcMar>
              </w:tcPr>
              <w:p w14:paraId="1140CD63"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Tables shall be structurally defined. See ISO/IEC Directives, Part 2, </w:t>
                </w:r>
                <w:hyperlink r:id="rId48" w:anchor="_idTextAnchor005">
                  <w:r>
                    <w:rPr>
                      <w:rFonts w:ascii="Arial" w:eastAsia="Arial" w:hAnsi="Arial" w:cs="Arial"/>
                      <w:color w:val="1155CC"/>
                      <w:sz w:val="20"/>
                      <w:szCs w:val="20"/>
                      <w:u w:val="single"/>
                    </w:rPr>
                    <w:t>Clause 29</w:t>
                  </w:r>
                </w:hyperlink>
                <w:r>
                  <w:rPr>
                    <w:rFonts w:ascii="Arial" w:eastAsia="Arial" w:hAnsi="Arial" w:cs="Arial"/>
                    <w:sz w:val="20"/>
                    <w:szCs w:val="20"/>
                  </w:rPr>
                  <w:t>.</w:t>
                </w:r>
              </w:p>
            </w:tc>
          </w:tr>
          <w:tr w:rsidR="0011495C" w14:paraId="0D0E4D8F" w14:textId="77777777">
            <w:tc>
              <w:tcPr>
                <w:tcW w:w="3360" w:type="dxa"/>
                <w:tcMar>
                  <w:top w:w="100" w:type="dxa"/>
                  <w:left w:w="100" w:type="dxa"/>
                  <w:bottom w:w="100" w:type="dxa"/>
                  <w:right w:w="100" w:type="dxa"/>
                </w:tcMar>
              </w:tcPr>
              <w:p w14:paraId="5F164D16"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Non-Normative Implementation Narrative</w:t>
                </w:r>
              </w:p>
            </w:tc>
            <w:tc>
              <w:tcPr>
                <w:tcW w:w="3360" w:type="dxa"/>
                <w:tcMar>
                  <w:top w:w="100" w:type="dxa"/>
                  <w:left w:w="100" w:type="dxa"/>
                  <w:bottom w:w="100" w:type="dxa"/>
                  <w:right w:w="100" w:type="dxa"/>
                </w:tcMar>
              </w:tcPr>
              <w:p w14:paraId="7598281F"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Move implementation guidance and authoring-process commentary into notes or informative annexes.</w:t>
                </w:r>
              </w:p>
            </w:tc>
            <w:tc>
              <w:tcPr>
                <w:tcW w:w="3360" w:type="dxa"/>
                <w:tcMar>
                  <w:top w:w="100" w:type="dxa"/>
                  <w:left w:w="100" w:type="dxa"/>
                  <w:bottom w:w="100" w:type="dxa"/>
                  <w:right w:w="100" w:type="dxa"/>
                </w:tcMar>
              </w:tcPr>
              <w:p w14:paraId="69481303"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Standards define technical outcomes, not internal author workflows. See ISO/IEC Directives, Part 2, </w:t>
                </w:r>
                <w:hyperlink r:id="rId49" w:anchor="_idTextAnchor005">
                  <w:r>
                    <w:rPr>
                      <w:rFonts w:ascii="Arial" w:eastAsia="Arial" w:hAnsi="Arial" w:cs="Arial"/>
                      <w:color w:val="1155CC"/>
                      <w:sz w:val="20"/>
                      <w:szCs w:val="20"/>
                      <w:u w:val="single"/>
                    </w:rPr>
                    <w:t>Clause 24</w:t>
                  </w:r>
                </w:hyperlink>
                <w:r>
                  <w:rPr>
                    <w:rFonts w:ascii="Arial" w:eastAsia="Arial" w:hAnsi="Arial" w:cs="Arial"/>
                    <w:sz w:val="20"/>
                    <w:szCs w:val="20"/>
                  </w:rPr>
                  <w:t>.</w:t>
                </w:r>
              </w:p>
            </w:tc>
          </w:tr>
          <w:tr w:rsidR="0011495C" w14:paraId="1F740E12" w14:textId="77777777">
            <w:tc>
              <w:tcPr>
                <w:tcW w:w="3360" w:type="dxa"/>
                <w:tcMar>
                  <w:top w:w="100" w:type="dxa"/>
                  <w:left w:w="100" w:type="dxa"/>
                  <w:bottom w:w="100" w:type="dxa"/>
                  <w:right w:w="100" w:type="dxa"/>
                </w:tcMar>
              </w:tcPr>
              <w:p w14:paraId="78C216E6"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Mermaid Diagram Transmutation</w:t>
                </w:r>
              </w:p>
            </w:tc>
            <w:tc>
              <w:tcPr>
                <w:tcW w:w="3360" w:type="dxa"/>
                <w:tcMar>
                  <w:top w:w="100" w:type="dxa"/>
                  <w:left w:w="100" w:type="dxa"/>
                  <w:bottom w:w="100" w:type="dxa"/>
                  <w:right w:w="100" w:type="dxa"/>
                </w:tcMar>
              </w:tcPr>
              <w:p w14:paraId="48F57F59"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Convert Mermaid source code into static figures.</w:t>
                </w:r>
              </w:p>
            </w:tc>
            <w:tc>
              <w:tcPr>
                <w:tcW w:w="3360" w:type="dxa"/>
                <w:tcMar>
                  <w:top w:w="100" w:type="dxa"/>
                  <w:left w:w="100" w:type="dxa"/>
                  <w:bottom w:w="100" w:type="dxa"/>
                  <w:right w:w="100" w:type="dxa"/>
                </w:tcMar>
              </w:tcPr>
              <w:p w14:paraId="0D2354AC"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Text-based diagram source code is completely unsuitable for ISO publication systems. See ISO/IEC Directives, Part 2, </w:t>
                </w:r>
                <w:hyperlink r:id="rId50" w:anchor="_idTextAnchor005">
                  <w:r>
                    <w:rPr>
                      <w:rFonts w:ascii="Arial" w:eastAsia="Arial" w:hAnsi="Arial" w:cs="Arial"/>
                      <w:color w:val="1155CC"/>
                      <w:sz w:val="20"/>
                      <w:szCs w:val="20"/>
                      <w:u w:val="single"/>
                    </w:rPr>
                    <w:t>Clause 28.6.4</w:t>
                  </w:r>
                </w:hyperlink>
                <w:r>
                  <w:rPr>
                    <w:rFonts w:ascii="Arial" w:eastAsia="Arial" w:hAnsi="Arial" w:cs="Arial"/>
                    <w:sz w:val="20"/>
                    <w:szCs w:val="20"/>
                  </w:rPr>
                  <w:t>.</w:t>
                </w:r>
              </w:p>
            </w:tc>
          </w:tr>
          <w:tr w:rsidR="0011495C" w14:paraId="54097EDE" w14:textId="77777777">
            <w:tc>
              <w:tcPr>
                <w:tcW w:w="3360" w:type="dxa"/>
                <w:tcMar>
                  <w:top w:w="100" w:type="dxa"/>
                  <w:left w:w="100" w:type="dxa"/>
                  <w:bottom w:w="100" w:type="dxa"/>
                  <w:right w:w="100" w:type="dxa"/>
                </w:tcMar>
              </w:tcPr>
              <w:p w14:paraId="424C9C3C"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Graphic Text Normalization</w:t>
                </w:r>
              </w:p>
            </w:tc>
            <w:tc>
              <w:tcPr>
                <w:tcW w:w="3360" w:type="dxa"/>
                <w:tcMar>
                  <w:top w:w="100" w:type="dxa"/>
                  <w:left w:w="100" w:type="dxa"/>
                  <w:bottom w:w="100" w:type="dxa"/>
                  <w:right w:w="100" w:type="dxa"/>
                </w:tcMar>
              </w:tcPr>
              <w:p w14:paraId="10127F85"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Standardize figure typography and remove branding from graphics.</w:t>
                </w:r>
              </w:p>
            </w:tc>
            <w:tc>
              <w:tcPr>
                <w:tcW w:w="3360" w:type="dxa"/>
                <w:tcMar>
                  <w:top w:w="100" w:type="dxa"/>
                  <w:left w:w="100" w:type="dxa"/>
                  <w:bottom w:w="100" w:type="dxa"/>
                  <w:right w:w="100" w:type="dxa"/>
                </w:tcMar>
              </w:tcPr>
              <w:p w14:paraId="30B2BD00"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Figures shall be neutral, completely clear, legible, and publication-ready. See ISO/IEC Directives, Part 2, </w:t>
                </w:r>
                <w:hyperlink r:id="rId51" w:anchor="_idTextAnchor005">
                  <w:r>
                    <w:rPr>
                      <w:rFonts w:ascii="Arial" w:eastAsia="Arial" w:hAnsi="Arial" w:cs="Arial"/>
                      <w:color w:val="1155CC"/>
                      <w:sz w:val="20"/>
                      <w:szCs w:val="20"/>
                      <w:u w:val="single"/>
                    </w:rPr>
                    <w:t>Clause 28.5.2</w:t>
                  </w:r>
                </w:hyperlink>
                <w:r>
                  <w:rPr>
                    <w:rFonts w:ascii="Arial" w:eastAsia="Arial" w:hAnsi="Arial" w:cs="Arial"/>
                    <w:sz w:val="20"/>
                    <w:szCs w:val="20"/>
                  </w:rPr>
                  <w:t>.</w:t>
                </w:r>
              </w:p>
            </w:tc>
          </w:tr>
          <w:tr w:rsidR="0011495C" w14:paraId="1ED00AAC" w14:textId="77777777">
            <w:trPr>
              <w:trHeight w:val="1073"/>
            </w:trPr>
            <w:tc>
              <w:tcPr>
                <w:tcW w:w="3360" w:type="dxa"/>
                <w:tcMar>
                  <w:top w:w="100" w:type="dxa"/>
                  <w:left w:w="100" w:type="dxa"/>
                  <w:bottom w:w="100" w:type="dxa"/>
                  <w:right w:w="100" w:type="dxa"/>
                </w:tcMar>
              </w:tcPr>
              <w:p w14:paraId="0B54EAA3"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Bibliography Construction</w:t>
                </w:r>
              </w:p>
            </w:tc>
            <w:tc>
              <w:tcPr>
                <w:tcW w:w="3360" w:type="dxa"/>
                <w:tcMar>
                  <w:top w:w="100" w:type="dxa"/>
                  <w:left w:w="100" w:type="dxa"/>
                  <w:bottom w:w="100" w:type="dxa"/>
                  <w:right w:w="100" w:type="dxa"/>
                </w:tcMar>
              </w:tcPr>
              <w:p w14:paraId="53BA167A"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Relocate all informative references into a final unnumbered Bibliography.</w:t>
                </w:r>
              </w:p>
            </w:tc>
            <w:tc>
              <w:tcPr>
                <w:tcW w:w="3360" w:type="dxa"/>
                <w:tcMar>
                  <w:top w:w="100" w:type="dxa"/>
                  <w:left w:w="100" w:type="dxa"/>
                  <w:bottom w:w="100" w:type="dxa"/>
                  <w:right w:w="100" w:type="dxa"/>
                </w:tcMar>
              </w:tcPr>
              <w:p w14:paraId="24FD270E"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See ISO/IEC Directives, Part 2, </w:t>
                </w:r>
                <w:hyperlink r:id="rId52" w:anchor="_idTextAnchor005">
                  <w:r>
                    <w:rPr>
                      <w:rFonts w:ascii="Arial" w:eastAsia="Arial" w:hAnsi="Arial" w:cs="Arial"/>
                      <w:color w:val="1155CC"/>
                      <w:sz w:val="20"/>
                      <w:szCs w:val="20"/>
                      <w:u w:val="single"/>
                    </w:rPr>
                    <w:t>Clause 21</w:t>
                  </w:r>
                </w:hyperlink>
                <w:r>
                  <w:rPr>
                    <w:rFonts w:ascii="Arial" w:eastAsia="Arial" w:hAnsi="Arial" w:cs="Arial"/>
                    <w:sz w:val="20"/>
                    <w:szCs w:val="20"/>
                  </w:rPr>
                  <w:t>.</w:t>
                </w:r>
              </w:p>
            </w:tc>
          </w:tr>
          <w:tr w:rsidR="0011495C" w14:paraId="48EEE26E" w14:textId="77777777">
            <w:tc>
              <w:tcPr>
                <w:tcW w:w="3360" w:type="dxa"/>
                <w:tcMar>
                  <w:top w:w="100" w:type="dxa"/>
                  <w:left w:w="100" w:type="dxa"/>
                  <w:bottom w:w="100" w:type="dxa"/>
                  <w:right w:w="100" w:type="dxa"/>
                </w:tcMar>
              </w:tcPr>
              <w:p w14:paraId="2E362002"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Asset Caption Formatting</w:t>
                </w:r>
              </w:p>
            </w:tc>
            <w:tc>
              <w:tcPr>
                <w:tcW w:w="3360" w:type="dxa"/>
                <w:tcMar>
                  <w:top w:w="100" w:type="dxa"/>
                  <w:left w:w="100" w:type="dxa"/>
                  <w:bottom w:w="100" w:type="dxa"/>
                  <w:right w:w="100" w:type="dxa"/>
                </w:tcMar>
              </w:tcPr>
              <w:p w14:paraId="6D76B70E"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Convert captions to ISO figure/table caption style and sentence case.</w:t>
                </w:r>
              </w:p>
            </w:tc>
            <w:tc>
              <w:tcPr>
                <w:tcW w:w="3360" w:type="dxa"/>
                <w:tcMar>
                  <w:top w:w="100" w:type="dxa"/>
                  <w:left w:w="100" w:type="dxa"/>
                  <w:bottom w:w="100" w:type="dxa"/>
                  <w:right w:w="100" w:type="dxa"/>
                </w:tcMar>
              </w:tcPr>
              <w:p w14:paraId="7E59751D"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See ISO/IEC Directives, Part 2, </w:t>
                </w:r>
                <w:hyperlink r:id="rId53" w:anchor="_idTextAnchor005">
                  <w:r>
                    <w:rPr>
                      <w:rFonts w:ascii="Arial" w:eastAsia="Arial" w:hAnsi="Arial" w:cs="Arial"/>
                      <w:color w:val="1155CC"/>
                      <w:sz w:val="20"/>
                      <w:szCs w:val="20"/>
                      <w:u w:val="single"/>
                    </w:rPr>
                    <w:t>Clause 28.2</w:t>
                  </w:r>
                </w:hyperlink>
                <w:r>
                  <w:rPr>
                    <w:rFonts w:ascii="Arial" w:eastAsia="Arial" w:hAnsi="Arial" w:cs="Arial"/>
                    <w:sz w:val="20"/>
                    <w:szCs w:val="20"/>
                  </w:rPr>
                  <w:t xml:space="preserve"> &amp; </w:t>
                </w:r>
                <w:hyperlink r:id="rId54" w:anchor="_idTextAnchor005">
                  <w:r>
                    <w:rPr>
                      <w:rFonts w:ascii="Arial" w:eastAsia="Arial" w:hAnsi="Arial" w:cs="Arial"/>
                      <w:color w:val="1155CC"/>
                      <w:sz w:val="20"/>
                      <w:szCs w:val="20"/>
                      <w:u w:val="single"/>
                    </w:rPr>
                    <w:t>Clause 29.2</w:t>
                  </w:r>
                </w:hyperlink>
                <w:r>
                  <w:rPr>
                    <w:rFonts w:ascii="Arial" w:eastAsia="Arial" w:hAnsi="Arial" w:cs="Arial"/>
                    <w:sz w:val="20"/>
                    <w:szCs w:val="20"/>
                  </w:rPr>
                  <w:t>.</w:t>
                </w:r>
              </w:p>
            </w:tc>
          </w:tr>
          <w:tr w:rsidR="0011495C" w14:paraId="173D0402" w14:textId="77777777">
            <w:tc>
              <w:tcPr>
                <w:tcW w:w="3360" w:type="dxa"/>
                <w:tcMar>
                  <w:top w:w="100" w:type="dxa"/>
                  <w:left w:w="100" w:type="dxa"/>
                  <w:bottom w:w="100" w:type="dxa"/>
                  <w:right w:w="100" w:type="dxa"/>
                </w:tcMar>
              </w:tcPr>
              <w:p w14:paraId="0F716A69"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Commercial Tools Footnotes</w:t>
                </w:r>
              </w:p>
            </w:tc>
            <w:tc>
              <w:tcPr>
                <w:tcW w:w="3360" w:type="dxa"/>
                <w:tcMar>
                  <w:top w:w="100" w:type="dxa"/>
                  <w:left w:w="100" w:type="dxa"/>
                  <w:bottom w:w="100" w:type="dxa"/>
                  <w:right w:w="100" w:type="dxa"/>
                </w:tcMar>
              </w:tcPr>
              <w:p w14:paraId="0D0BE676"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Add non-endorsement wording for references to trademarked products or technologies.</w:t>
                </w:r>
              </w:p>
            </w:tc>
            <w:tc>
              <w:tcPr>
                <w:tcW w:w="3360" w:type="dxa"/>
                <w:tcMar>
                  <w:top w:w="100" w:type="dxa"/>
                  <w:left w:w="100" w:type="dxa"/>
                  <w:bottom w:w="100" w:type="dxa"/>
                  <w:right w:w="100" w:type="dxa"/>
                </w:tcMar>
              </w:tcPr>
              <w:p w14:paraId="1C94E5B5"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See ISO/IEC Directives, Part 2, </w:t>
                </w:r>
                <w:hyperlink r:id="rId55" w:anchor="_idTextAnchor005">
                  <w:r>
                    <w:rPr>
                      <w:rFonts w:ascii="Arial" w:eastAsia="Arial" w:hAnsi="Arial" w:cs="Arial"/>
                      <w:color w:val="1155CC"/>
                      <w:sz w:val="20"/>
                      <w:szCs w:val="20"/>
                      <w:u w:val="single"/>
                    </w:rPr>
                    <w:t>Clause 31</w:t>
                  </w:r>
                </w:hyperlink>
                <w:r>
                  <w:rPr>
                    <w:rFonts w:ascii="Arial" w:eastAsia="Arial" w:hAnsi="Arial" w:cs="Arial"/>
                    <w:sz w:val="20"/>
                    <w:szCs w:val="20"/>
                  </w:rPr>
                  <w:t>.</w:t>
                </w:r>
              </w:p>
            </w:tc>
          </w:tr>
          <w:tr w:rsidR="0011495C" w14:paraId="3ED5F9C2" w14:textId="77777777">
            <w:tc>
              <w:tcPr>
                <w:tcW w:w="3360" w:type="dxa"/>
                <w:tcMar>
                  <w:top w:w="100" w:type="dxa"/>
                  <w:left w:w="100" w:type="dxa"/>
                  <w:bottom w:w="100" w:type="dxa"/>
                  <w:right w:w="100" w:type="dxa"/>
                </w:tcMar>
              </w:tcPr>
              <w:p w14:paraId="1ACF7D7F"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Mathematical Interval &amp; Unit </w:t>
                </w:r>
                <w:r>
                  <w:rPr>
                    <w:rFonts w:ascii="Arial" w:eastAsia="Arial" w:hAnsi="Arial" w:cs="Arial"/>
                    <w:sz w:val="20"/>
                    <w:szCs w:val="20"/>
                  </w:rPr>
                  <w:lastRenderedPageBreak/>
                  <w:t>Formatting</w:t>
                </w:r>
              </w:p>
            </w:tc>
            <w:tc>
              <w:tcPr>
                <w:tcW w:w="3360" w:type="dxa"/>
                <w:tcMar>
                  <w:top w:w="100" w:type="dxa"/>
                  <w:left w:w="100" w:type="dxa"/>
                  <w:bottom w:w="100" w:type="dxa"/>
                  <w:right w:w="100" w:type="dxa"/>
                </w:tcMar>
              </w:tcPr>
              <w:p w14:paraId="250E3087"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lastRenderedPageBreak/>
                  <w:t xml:space="preserve">Convert interval notation and </w:t>
                </w:r>
                <w:r>
                  <w:rPr>
                    <w:rFonts w:ascii="Arial" w:eastAsia="Arial" w:hAnsi="Arial" w:cs="Arial"/>
                    <w:sz w:val="20"/>
                    <w:szCs w:val="20"/>
                  </w:rPr>
                  <w:lastRenderedPageBreak/>
                  <w:t>enforce spacing between values and units.</w:t>
                </w:r>
              </w:p>
            </w:tc>
            <w:tc>
              <w:tcPr>
                <w:tcW w:w="3360" w:type="dxa"/>
                <w:tcMar>
                  <w:top w:w="100" w:type="dxa"/>
                  <w:left w:w="100" w:type="dxa"/>
                  <w:bottom w:w="100" w:type="dxa"/>
                  <w:right w:w="100" w:type="dxa"/>
                </w:tcMar>
              </w:tcPr>
              <w:p w14:paraId="2C687825"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lastRenderedPageBreak/>
                  <w:t xml:space="preserve">See ISO/IEC Directives, Part 2, </w:t>
                </w:r>
                <w:hyperlink r:id="rId56" w:anchor="_idTextAnchor005">
                  <w:r>
                    <w:rPr>
                      <w:rFonts w:ascii="Arial" w:eastAsia="Arial" w:hAnsi="Arial" w:cs="Arial"/>
                      <w:color w:val="1155CC"/>
                      <w:sz w:val="20"/>
                      <w:szCs w:val="20"/>
                      <w:u w:val="single"/>
                    </w:rPr>
                    <w:t>Clauses 9.1</w:t>
                  </w:r>
                </w:hyperlink>
                <w:r>
                  <w:rPr>
                    <w:rFonts w:ascii="Arial" w:eastAsia="Arial" w:hAnsi="Arial" w:cs="Arial"/>
                    <w:sz w:val="20"/>
                    <w:szCs w:val="20"/>
                  </w:rPr>
                  <w:t xml:space="preserve"> and </w:t>
                </w:r>
                <w:hyperlink r:id="rId57" w:anchor="_idTextAnchor005">
                  <w:r>
                    <w:rPr>
                      <w:rFonts w:ascii="Arial" w:eastAsia="Arial" w:hAnsi="Arial" w:cs="Arial"/>
                      <w:color w:val="1155CC"/>
                      <w:sz w:val="20"/>
                      <w:szCs w:val="20"/>
                      <w:u w:val="single"/>
                    </w:rPr>
                    <w:t>9.4.1</w:t>
                  </w:r>
                </w:hyperlink>
                <w:r>
                  <w:rPr>
                    <w:rFonts w:ascii="Arial" w:eastAsia="Arial" w:hAnsi="Arial" w:cs="Arial"/>
                    <w:sz w:val="20"/>
                    <w:szCs w:val="20"/>
                  </w:rPr>
                  <w:t>.</w:t>
                </w:r>
              </w:p>
            </w:tc>
          </w:tr>
          <w:tr w:rsidR="0011495C" w14:paraId="5B688423" w14:textId="77777777">
            <w:tc>
              <w:tcPr>
                <w:tcW w:w="3360" w:type="dxa"/>
                <w:tcMar>
                  <w:top w:w="100" w:type="dxa"/>
                  <w:left w:w="100" w:type="dxa"/>
                  <w:bottom w:w="100" w:type="dxa"/>
                  <w:right w:w="100" w:type="dxa"/>
                </w:tcMar>
              </w:tcPr>
              <w:p w14:paraId="31DB6AE8"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lastRenderedPageBreak/>
                  <w:t>Percentage Symbol Clean-up</w:t>
                </w:r>
              </w:p>
            </w:tc>
            <w:tc>
              <w:tcPr>
                <w:tcW w:w="3360" w:type="dxa"/>
                <w:tcMar>
                  <w:top w:w="100" w:type="dxa"/>
                  <w:left w:w="100" w:type="dxa"/>
                  <w:bottom w:w="100" w:type="dxa"/>
                  <w:right w:w="100" w:type="dxa"/>
                </w:tcMar>
              </w:tcPr>
              <w:p w14:paraId="49A1218B"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Replace % in prose with “per cent”.</w:t>
                </w:r>
              </w:p>
            </w:tc>
            <w:tc>
              <w:tcPr>
                <w:tcW w:w="3360" w:type="dxa"/>
                <w:tcMar>
                  <w:top w:w="100" w:type="dxa"/>
                  <w:left w:w="100" w:type="dxa"/>
                  <w:bottom w:w="100" w:type="dxa"/>
                  <w:right w:w="100" w:type="dxa"/>
                </w:tcMar>
              </w:tcPr>
              <w:p w14:paraId="4590B47A"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The symbol % is restricted entirely to tabular matrices and literal code blocks. See ISO/IEC Directives, Part 2, </w:t>
                </w:r>
                <w:hyperlink r:id="rId58" w:anchor="_idTextAnchor005">
                  <w:r>
                    <w:rPr>
                      <w:rFonts w:ascii="Arial" w:eastAsia="Arial" w:hAnsi="Arial" w:cs="Arial"/>
                      <w:color w:val="1155CC"/>
                      <w:sz w:val="20"/>
                      <w:szCs w:val="20"/>
                      <w:u w:val="single"/>
                    </w:rPr>
                    <w:t>Clause 9.4.1</w:t>
                  </w:r>
                </w:hyperlink>
                <w:r>
                  <w:rPr>
                    <w:rFonts w:ascii="Arial" w:eastAsia="Arial" w:hAnsi="Arial" w:cs="Arial"/>
                    <w:sz w:val="20"/>
                    <w:szCs w:val="20"/>
                  </w:rPr>
                  <w:t xml:space="preserve"> &amp; </w:t>
                </w:r>
                <w:hyperlink r:id="rId59" w:anchor="_idTextAnchor467">
                  <w:r>
                    <w:rPr>
                      <w:rFonts w:ascii="Arial" w:eastAsia="Arial" w:hAnsi="Arial" w:cs="Arial"/>
                      <w:color w:val="1155CC"/>
                      <w:sz w:val="20"/>
                      <w:szCs w:val="20"/>
                      <w:u w:val="single"/>
                    </w:rPr>
                    <w:t>Annex B</w:t>
                  </w:r>
                </w:hyperlink>
                <w:r>
                  <w:rPr>
                    <w:rFonts w:ascii="Arial" w:eastAsia="Arial" w:hAnsi="Arial" w:cs="Arial"/>
                    <w:sz w:val="20"/>
                    <w:szCs w:val="20"/>
                  </w:rPr>
                  <w:t>.</w:t>
                </w:r>
              </w:p>
            </w:tc>
          </w:tr>
          <w:tr w:rsidR="0011495C" w14:paraId="4D4D9E35" w14:textId="77777777">
            <w:tc>
              <w:tcPr>
                <w:tcW w:w="3360" w:type="dxa"/>
                <w:tcMar>
                  <w:top w:w="100" w:type="dxa"/>
                  <w:left w:w="100" w:type="dxa"/>
                  <w:bottom w:w="100" w:type="dxa"/>
                  <w:right w:w="100" w:type="dxa"/>
                </w:tcMar>
              </w:tcPr>
              <w:p w14:paraId="53A2080F"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Schema Placeholder Optimization</w:t>
                </w:r>
              </w:p>
            </w:tc>
            <w:tc>
              <w:tcPr>
                <w:tcW w:w="3360" w:type="dxa"/>
                <w:tcMar>
                  <w:top w:w="100" w:type="dxa"/>
                  <w:left w:w="100" w:type="dxa"/>
                  <w:bottom w:w="100" w:type="dxa"/>
                  <w:right w:w="100" w:type="dxa"/>
                </w:tcMar>
              </w:tcPr>
              <w:p w14:paraId="0A1BFD05"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Remove placeholder values, ellipses, and drafting artifacts from examples.</w:t>
                </w:r>
              </w:p>
            </w:tc>
            <w:tc>
              <w:tcPr>
                <w:tcW w:w="3360" w:type="dxa"/>
                <w:tcMar>
                  <w:top w:w="100" w:type="dxa"/>
                  <w:left w:w="100" w:type="dxa"/>
                  <w:bottom w:w="100" w:type="dxa"/>
                  <w:right w:w="100" w:type="dxa"/>
                </w:tcMar>
              </w:tcPr>
              <w:p w14:paraId="6EC66CEC"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Draft remnants are flagged as incomplete specification leaks by automated ingestion systems. See ISO/IEC Directives, Part 2, </w:t>
                </w:r>
                <w:hyperlink r:id="rId60" w:anchor="_idTextAnchor040">
                  <w:r>
                    <w:rPr>
                      <w:rFonts w:ascii="Arial" w:eastAsia="Arial" w:hAnsi="Arial" w:cs="Arial"/>
                      <w:color w:val="1155CC"/>
                      <w:sz w:val="20"/>
                      <w:szCs w:val="20"/>
                      <w:u w:val="single"/>
                    </w:rPr>
                    <w:t>Clause 4.1.</w:t>
                  </w:r>
                </w:hyperlink>
              </w:p>
            </w:tc>
          </w:tr>
          <w:tr w:rsidR="0011495C" w14:paraId="256E7FAC" w14:textId="77777777">
            <w:tc>
              <w:tcPr>
                <w:tcW w:w="3360" w:type="dxa"/>
                <w:tcMar>
                  <w:top w:w="100" w:type="dxa"/>
                  <w:left w:w="100" w:type="dxa"/>
                  <w:bottom w:w="100" w:type="dxa"/>
                  <w:right w:w="100" w:type="dxa"/>
                </w:tcMar>
              </w:tcPr>
              <w:p w14:paraId="35BB367D"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Subscript Coordinate Notation</w:t>
                </w:r>
              </w:p>
            </w:tc>
            <w:tc>
              <w:tcPr>
                <w:tcW w:w="3360" w:type="dxa"/>
                <w:tcMar>
                  <w:top w:w="100" w:type="dxa"/>
                  <w:left w:w="100" w:type="dxa"/>
                  <w:bottom w:w="100" w:type="dxa"/>
                  <w:right w:w="100" w:type="dxa"/>
                </w:tcMar>
              </w:tcPr>
              <w:p w14:paraId="6A262E14"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Convert snake_case mathematical variables into proper mathematical notation with subscripts.</w:t>
                </w:r>
              </w:p>
            </w:tc>
            <w:tc>
              <w:tcPr>
                <w:tcW w:w="3360" w:type="dxa"/>
                <w:tcMar>
                  <w:top w:w="100" w:type="dxa"/>
                  <w:left w:w="100" w:type="dxa"/>
                  <w:bottom w:w="100" w:type="dxa"/>
                  <w:right w:w="100" w:type="dxa"/>
                </w:tcMar>
              </w:tcPr>
              <w:p w14:paraId="55C298D8" w14:textId="77777777" w:rsidR="0011495C" w:rsidRDefault="00000000">
                <w:pPr>
                  <w:widowControl w:val="0"/>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See ISO/IEC Directives, Part 2, </w:t>
                </w:r>
                <w:hyperlink r:id="rId61" w:anchor="_idTextAnchor117">
                  <w:r>
                    <w:rPr>
                      <w:rFonts w:ascii="Arial" w:eastAsia="Arial" w:hAnsi="Arial" w:cs="Arial"/>
                      <w:color w:val="1155CC"/>
                      <w:sz w:val="20"/>
                      <w:szCs w:val="20"/>
                      <w:u w:val="single"/>
                    </w:rPr>
                    <w:t>Clause 9.3.1</w:t>
                  </w:r>
                </w:hyperlink>
                <w:r>
                  <w:rPr>
                    <w:rFonts w:ascii="Arial" w:eastAsia="Arial" w:hAnsi="Arial" w:cs="Arial"/>
                    <w:sz w:val="20"/>
                    <w:szCs w:val="20"/>
                  </w:rPr>
                  <w:t>.</w:t>
                </w:r>
              </w:p>
            </w:tc>
          </w:tr>
        </w:tbl>
      </w:sdtContent>
    </w:sdt>
    <w:p w14:paraId="1B249DDD" w14:textId="77777777" w:rsidR="0011495C" w:rsidRDefault="0011495C">
      <w:pPr>
        <w:keepLines/>
        <w:widowControl w:val="0"/>
        <w:spacing w:after="200"/>
        <w:rPr>
          <w:rFonts w:ascii="Arial" w:eastAsia="Arial" w:hAnsi="Arial" w:cs="Arial"/>
          <w:sz w:val="20"/>
          <w:szCs w:val="20"/>
        </w:rPr>
      </w:pPr>
    </w:p>
    <w:sectPr w:rsidR="0011495C">
      <w:headerReference w:type="even" r:id="rId62"/>
      <w:footerReference w:type="default" r:id="rId63"/>
      <w:headerReference w:type="first" r:id="rId64"/>
      <w:pgSz w:w="12240" w:h="15840"/>
      <w:pgMar w:top="1440" w:right="1080" w:bottom="1440" w:left="108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2BB66B" w14:textId="77777777" w:rsidR="001426D7" w:rsidRDefault="001426D7">
      <w:r>
        <w:separator/>
      </w:r>
    </w:p>
  </w:endnote>
  <w:endnote w:type="continuationSeparator" w:id="0">
    <w:p w14:paraId="06ED4055" w14:textId="77777777" w:rsidR="001426D7" w:rsidRDefault="001426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92F1F15B-AB85-F54D-A3C8-14F6751AE7C3}"/>
  </w:font>
  <w:font w:name="Courier New">
    <w:panose1 w:val="02070309020205020404"/>
    <w:charset w:val="00"/>
    <w:family w:val="modern"/>
    <w:pitch w:val="fixed"/>
    <w:sig w:usb0="E0002EFF" w:usb1="C0007843" w:usb2="00000009" w:usb3="00000000" w:csb0="000001FF" w:csb1="00000000"/>
    <w:embedRegular r:id="rId2" w:fontKey="{D960823B-6A98-3B4B-9C6C-C9553AFAD83F}"/>
  </w:font>
  <w:font w:name="Times New Roman">
    <w:panose1 w:val="02020603050405020304"/>
    <w:charset w:val="00"/>
    <w:family w:val="roman"/>
    <w:pitch w:val="variable"/>
    <w:sig w:usb0="E0002EFF" w:usb1="C000785B" w:usb2="00000009" w:usb3="00000000" w:csb0="000001FF" w:csb1="00000000"/>
    <w:embedRegular r:id="rId3" w:fontKey="{D34B41C2-0E18-3140-8BB8-7CD3221D733B}"/>
  </w:font>
  <w:font w:name="Cambria">
    <w:panose1 w:val="02040503050406030204"/>
    <w:charset w:val="00"/>
    <w:family w:val="roman"/>
    <w:pitch w:val="variable"/>
    <w:sig w:usb0="E00006FF" w:usb1="420024FF" w:usb2="02000000" w:usb3="00000000" w:csb0="0000019F" w:csb1="00000000"/>
    <w:embedRegular r:id="rId4" w:fontKey="{C87CEAAC-8117-C044-ABB9-DF2CE71D958C}"/>
    <w:embedBold r:id="rId5" w:fontKey="{91ECF6A0-291A-3341-9850-D55F17E728F9}"/>
  </w:font>
  <w:font w:name="Calibri">
    <w:panose1 w:val="020F0502020204030204"/>
    <w:charset w:val="00"/>
    <w:family w:val="swiss"/>
    <w:pitch w:val="variable"/>
    <w:sig w:usb0="E0002AFF" w:usb1="C000247B" w:usb2="00000009" w:usb3="00000000" w:csb0="000001FF" w:csb1="00000000"/>
    <w:embedRegular r:id="rId6" w:fontKey="{C89710D1-E169-5C4B-B6C4-17C54BACADB8}"/>
  </w:font>
  <w:font w:name="Arial">
    <w:panose1 w:val="020B0604020202020204"/>
    <w:charset w:val="00"/>
    <w:family w:val="swiss"/>
    <w:pitch w:val="variable"/>
    <w:sig w:usb0="E0002AFF" w:usb1="C0007843" w:usb2="00000009" w:usb3="00000000" w:csb0="000001FF" w:csb1="00000000"/>
    <w:embedRegular r:id="rId7" w:fontKey="{2E552B60-422B-8147-B1B9-567ECB1D118A}"/>
    <w:embedBold r:id="rId8" w:fontKey="{EA6929ED-4BD9-8549-BA32-74AFE1C16C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8570D" w14:textId="77777777" w:rsidR="0011495C" w:rsidRDefault="0011495C">
    <w:pPr>
      <w:pBdr>
        <w:top w:val="nil"/>
        <w:left w:val="nil"/>
        <w:bottom w:val="nil"/>
        <w:right w:val="nil"/>
        <w:between w:val="nil"/>
      </w:pBdr>
      <w:tabs>
        <w:tab w:val="right" w:pos="993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5275BC" w14:textId="77777777" w:rsidR="001426D7" w:rsidRDefault="001426D7">
      <w:r>
        <w:separator/>
      </w:r>
    </w:p>
  </w:footnote>
  <w:footnote w:type="continuationSeparator" w:id="0">
    <w:p w14:paraId="03475A8F" w14:textId="77777777" w:rsidR="001426D7" w:rsidRDefault="001426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69AA03" w14:textId="77777777" w:rsidR="0011495C" w:rsidRDefault="0011495C">
    <w:pPr>
      <w:pBdr>
        <w:top w:val="nil"/>
        <w:left w:val="nil"/>
        <w:bottom w:val="nil"/>
        <w:right w:val="nil"/>
        <w:between w:val="nil"/>
      </w:pBdr>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098E8C" w14:textId="77777777" w:rsidR="0011495C" w:rsidRDefault="00000000">
    <w:pPr>
      <w:pBdr>
        <w:top w:val="nil"/>
        <w:left w:val="nil"/>
        <w:bottom w:val="nil"/>
        <w:right w:val="nil"/>
        <w:between w:val="nil"/>
      </w:pBdr>
      <w:jc w:val="right"/>
      <w:rPr>
        <w:rFonts w:ascii="Cambria" w:eastAsia="Cambria" w:hAnsi="Cambria" w:cs="Cambria"/>
        <w:b/>
        <w:bCs/>
        <w:color w:val="365F91"/>
        <w:sz w:val="28"/>
        <w:szCs w:val="28"/>
      </w:rPr>
    </w:pPr>
    <w:r>
      <w:rPr>
        <w:rFonts w:ascii="Cambria" w:eastAsia="Cambria" w:hAnsi="Cambria" w:cs="Cambria"/>
        <w:b/>
        <w:bCs/>
        <w:color w:val="365F91"/>
      </w:rPr>
      <w:t>ISO/IEC JTC 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4EE2314"/>
    <w:multiLevelType w:val="multilevel"/>
    <w:tmpl w:val="F5B26A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7536708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NotDisplayPageBoundaries/>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495C"/>
    <w:rsid w:val="0011495C"/>
    <w:rsid w:val="001426D7"/>
    <w:rsid w:val="002020E7"/>
    <w:rsid w:val="00DF5B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6552DED"/>
  <w15:docId w15:val="{1E5106BE-CE63-5E4D-AC10-679C4396CB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C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160" w:after="240"/>
      <w:ind w:left="936" w:hanging="936"/>
      <w:outlineLvl w:val="0"/>
    </w:pPr>
    <w:rPr>
      <w:rFonts w:ascii="Cambria" w:eastAsia="Cambria" w:hAnsi="Cambria" w:cs="Cambria"/>
      <w:b/>
      <w:bCs/>
      <w:color w:val="365F91"/>
      <w:sz w:val="28"/>
      <w:szCs w:val="28"/>
    </w:rPr>
  </w:style>
  <w:style w:type="paragraph" w:styleId="Heading2">
    <w:name w:val="heading 2"/>
    <w:basedOn w:val="Normal"/>
    <w:next w:val="Normal"/>
    <w:uiPriority w:val="9"/>
    <w:semiHidden/>
    <w:unhideWhenUsed/>
    <w:qFormat/>
    <w:pPr>
      <w:keepNext/>
      <w:keepLines/>
      <w:spacing w:before="160" w:after="80"/>
      <w:ind w:left="936" w:hanging="936"/>
      <w:outlineLvl w:val="1"/>
    </w:pPr>
    <w:rPr>
      <w:rFonts w:ascii="Cambria" w:eastAsia="Cambria" w:hAnsi="Cambria" w:cs="Cambria"/>
      <w:b/>
      <w:bCs/>
      <w:color w:val="4F81BD"/>
      <w:sz w:val="28"/>
      <w:szCs w:val="28"/>
    </w:rPr>
  </w:style>
  <w:style w:type="paragraph" w:styleId="Heading3">
    <w:name w:val="heading 3"/>
    <w:basedOn w:val="Normal"/>
    <w:next w:val="Normal"/>
    <w:uiPriority w:val="9"/>
    <w:semiHidden/>
    <w:unhideWhenUsed/>
    <w:qFormat/>
    <w:pPr>
      <w:keepNext/>
      <w:keepLines/>
      <w:spacing w:before="160" w:after="80"/>
      <w:ind w:left="1224" w:hanging="1224"/>
      <w:outlineLvl w:val="2"/>
    </w:pPr>
    <w:rPr>
      <w:rFonts w:ascii="Cambria" w:eastAsia="Cambria" w:hAnsi="Cambria" w:cs="Cambria"/>
      <w:b/>
      <w:bCs/>
      <w:color w:val="4F81BD"/>
      <w:sz w:val="26"/>
      <w:szCs w:val="26"/>
    </w:rPr>
  </w:style>
  <w:style w:type="paragraph" w:styleId="Heading4">
    <w:name w:val="heading 4"/>
    <w:basedOn w:val="Normal"/>
    <w:next w:val="Normal"/>
    <w:uiPriority w:val="9"/>
    <w:semiHidden/>
    <w:unhideWhenUsed/>
    <w:qFormat/>
    <w:pPr>
      <w:keepNext/>
      <w:keepLines/>
      <w:spacing w:before="160" w:after="80"/>
      <w:ind w:left="1512" w:hanging="1512"/>
      <w:outlineLvl w:val="3"/>
    </w:pPr>
    <w:rPr>
      <w:rFonts w:ascii="Cambria" w:eastAsia="Cambria" w:hAnsi="Cambria" w:cs="Cambria"/>
      <w:color w:val="4F81BD"/>
    </w:rPr>
  </w:style>
  <w:style w:type="paragraph" w:styleId="Heading5">
    <w:name w:val="heading 5"/>
    <w:basedOn w:val="Normal"/>
    <w:next w:val="Normal"/>
    <w:uiPriority w:val="9"/>
    <w:semiHidden/>
    <w:unhideWhenUsed/>
    <w:qFormat/>
    <w:pPr>
      <w:keepNext/>
      <w:keepLines/>
      <w:spacing w:before="160" w:after="80"/>
      <w:ind w:left="1800" w:hanging="1800"/>
      <w:outlineLvl w:val="4"/>
    </w:pPr>
    <w:rPr>
      <w:rFonts w:ascii="Cambria" w:eastAsia="Cambria" w:hAnsi="Cambria" w:cs="Cambria"/>
      <w:color w:val="243F60"/>
    </w:rPr>
  </w:style>
  <w:style w:type="paragraph" w:styleId="Heading6">
    <w:name w:val="heading 6"/>
    <w:basedOn w:val="Normal"/>
    <w:next w:val="Normal"/>
    <w:uiPriority w:val="9"/>
    <w:semiHidden/>
    <w:unhideWhenUsed/>
    <w:qFormat/>
    <w:pPr>
      <w:keepNext/>
      <w:keepLines/>
      <w:spacing w:before="160" w:after="80"/>
      <w:ind w:left="2088" w:hanging="2088"/>
      <w:outlineLvl w:val="5"/>
    </w:pPr>
    <w:rPr>
      <w:rFonts w:ascii="Cambria" w:eastAsia="Cambria" w:hAnsi="Cambria" w:cs="Cambria"/>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widowControl w:val="0"/>
      <w:pBdr>
        <w:top w:val="nil"/>
        <w:left w:val="nil"/>
        <w:bottom w:val="nil"/>
        <w:right w:val="nil"/>
        <w:between w:val="nil"/>
      </w:pBdr>
      <w:spacing w:after="200" w:line="276" w:lineRule="auto"/>
      <w:jc w:val="center"/>
    </w:pPr>
    <w:rPr>
      <w:rFonts w:ascii="Calibri" w:eastAsia="Calibri" w:hAnsi="Calibri" w:cs="Calibri"/>
      <w:color w:val="17365D"/>
      <w:sz w:val="192"/>
      <w:szCs w:val="192"/>
    </w:rPr>
  </w:style>
  <w:style w:type="paragraph" w:styleId="Subtitle">
    <w:name w:val="Subtitle"/>
    <w:basedOn w:val="Normal"/>
    <w:next w:val="Normal"/>
    <w:uiPriority w:val="11"/>
    <w:qFormat/>
    <w:pPr>
      <w:jc w:val="center"/>
    </w:pPr>
    <w:rPr>
      <w:rFonts w:ascii="Cambria" w:eastAsia="Cambria" w:hAnsi="Cambria" w:cs="Cambria"/>
      <w:b/>
      <w:bCs/>
      <w:color w:val="4F81BD"/>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iso.org/sites/directives/current/part2/index.xhtml" TargetMode="External"/><Relationship Id="rId21" Type="http://schemas.openxmlformats.org/officeDocument/2006/relationships/hyperlink" Target="https://www.iso.org/sites/directives/current/part2/index.xhtml" TargetMode="External"/><Relationship Id="rId34" Type="http://schemas.openxmlformats.org/officeDocument/2006/relationships/hyperlink" Target="https://www.iso.org/sites/directives/current/part2/index.xhtml" TargetMode="External"/><Relationship Id="rId42" Type="http://schemas.openxmlformats.org/officeDocument/2006/relationships/hyperlink" Target="https://www.iso.org/sites/directives/current/part2/index.xhtml" TargetMode="External"/><Relationship Id="rId47" Type="http://schemas.openxmlformats.org/officeDocument/2006/relationships/hyperlink" Target="https://www.iso.org/sites/directives/current/part2/index.xhtml" TargetMode="External"/><Relationship Id="rId50" Type="http://schemas.openxmlformats.org/officeDocument/2006/relationships/hyperlink" Target="https://www.iso.org/sites/directives/current/part2/index.xhtml" TargetMode="External"/><Relationship Id="rId55" Type="http://schemas.openxmlformats.org/officeDocument/2006/relationships/hyperlink" Target="https://www.iso.org/sites/directives/current/part2/index.xhtml" TargetMode="External"/><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iso.org/sites/directives/current/part2/index.xhtml" TargetMode="External"/><Relationship Id="rId29" Type="http://schemas.openxmlformats.org/officeDocument/2006/relationships/hyperlink" Target="https://www.iso.org/sites/directives/current/part2/index.xhtml" TargetMode="External"/><Relationship Id="rId11" Type="http://schemas.openxmlformats.org/officeDocument/2006/relationships/hyperlink" Target="https://docs.google.com/document/d/1mDyHe9XrUcG0BTZP13OYKl2D_0M9XUyG/edit" TargetMode="External"/><Relationship Id="rId24" Type="http://schemas.openxmlformats.org/officeDocument/2006/relationships/hyperlink" Target="https://www.iso.org/sites/directives/current/part2/index.xhtml" TargetMode="External"/><Relationship Id="rId32" Type="http://schemas.openxmlformats.org/officeDocument/2006/relationships/hyperlink" Target="https://www.iso.org/sites/directives/current/part2/index.xhtml" TargetMode="External"/><Relationship Id="rId37" Type="http://schemas.openxmlformats.org/officeDocument/2006/relationships/hyperlink" Target="https://www.iso.org/sites/directives/current/part2/index.xhtml" TargetMode="External"/><Relationship Id="rId40" Type="http://schemas.openxmlformats.org/officeDocument/2006/relationships/hyperlink" Target="https://www.iso.org/sites/directives/current/part2/index.xhtml" TargetMode="External"/><Relationship Id="rId45" Type="http://schemas.openxmlformats.org/officeDocument/2006/relationships/hyperlink" Target="https://www.iso.org/sites/directives/current/part2/index.xhtml" TargetMode="External"/><Relationship Id="rId53" Type="http://schemas.openxmlformats.org/officeDocument/2006/relationships/hyperlink" Target="https://www.iso.org/sites/directives/current/part2/index.xhtml" TargetMode="External"/><Relationship Id="rId58" Type="http://schemas.openxmlformats.org/officeDocument/2006/relationships/hyperlink" Target="https://www.iso.org/sites/directives/current/part2/index.xhtml" TargetMode="External"/><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www.iso.org/sites/directives/current/part2/index.xhtml" TargetMode="External"/><Relationship Id="rId19" Type="http://schemas.openxmlformats.org/officeDocument/2006/relationships/hyperlink" Target="https://www.iso.org/sites/directives/current/part2/index.xhtml" TargetMode="External"/><Relationship Id="rId14" Type="http://schemas.openxmlformats.org/officeDocument/2006/relationships/hyperlink" Target="https://www.iso.org/sites/directives/current/part2/index.xhtml" TargetMode="External"/><Relationship Id="rId22" Type="http://schemas.openxmlformats.org/officeDocument/2006/relationships/hyperlink" Target="https://www.iso.org/sites/directives/current/part2/index.xhtml" TargetMode="External"/><Relationship Id="rId27" Type="http://schemas.openxmlformats.org/officeDocument/2006/relationships/hyperlink" Target="https://www.iso.org/sites/directives/current/part2/index.xhtml" TargetMode="External"/><Relationship Id="rId30" Type="http://schemas.openxmlformats.org/officeDocument/2006/relationships/hyperlink" Target="https://www.iso.org/sites/directives/current/part2/index.xhtml" TargetMode="External"/><Relationship Id="rId35" Type="http://schemas.openxmlformats.org/officeDocument/2006/relationships/hyperlink" Target="https://www.iso.org/sites/directives/current/part2/index.xhtml" TargetMode="External"/><Relationship Id="rId43" Type="http://schemas.openxmlformats.org/officeDocument/2006/relationships/hyperlink" Target="https://www.iso.org/sites/directives/current/part2/index.xhtml" TargetMode="External"/><Relationship Id="rId48" Type="http://schemas.openxmlformats.org/officeDocument/2006/relationships/hyperlink" Target="https://www.iso.org/sites/directives/current/part2/index.xhtml" TargetMode="External"/><Relationship Id="rId56" Type="http://schemas.openxmlformats.org/officeDocument/2006/relationships/hyperlink" Target="https://www.iso.org/sites/directives/current/part2/index.xhtml" TargetMode="External"/><Relationship Id="rId64" Type="http://schemas.openxmlformats.org/officeDocument/2006/relationships/header" Target="header2.xml"/><Relationship Id="rId8" Type="http://schemas.openxmlformats.org/officeDocument/2006/relationships/hyperlink" Target="https://www.iso.org/sites/directives/current/part2/index.xhtml" TargetMode="External"/><Relationship Id="rId51" Type="http://schemas.openxmlformats.org/officeDocument/2006/relationships/hyperlink" Target="https://www.iso.org/sites/directives/current/part2/index.xhtml" TargetMode="External"/><Relationship Id="rId3" Type="http://schemas.openxmlformats.org/officeDocument/2006/relationships/styles" Target="styles.xml"/><Relationship Id="rId12" Type="http://schemas.openxmlformats.org/officeDocument/2006/relationships/hyperlink" Target="https://www.iso.org/sites/directives/current/part2/index.xhtml" TargetMode="External"/><Relationship Id="rId17" Type="http://schemas.openxmlformats.org/officeDocument/2006/relationships/hyperlink" Target="https://www.iso.org/sites/directives/current/part2/index.xhtml" TargetMode="External"/><Relationship Id="rId25" Type="http://schemas.openxmlformats.org/officeDocument/2006/relationships/hyperlink" Target="https://www.iso.org/sites/directives/current/part2/index.xhtml" TargetMode="External"/><Relationship Id="rId33" Type="http://schemas.openxmlformats.org/officeDocument/2006/relationships/hyperlink" Target="https://www.iso.org/sites/directives/current/part2/index.xhtml" TargetMode="External"/><Relationship Id="rId38" Type="http://schemas.openxmlformats.org/officeDocument/2006/relationships/hyperlink" Target="https://www.iso.org/sites/directives/current/part2/index.xhtml" TargetMode="External"/><Relationship Id="rId46" Type="http://schemas.openxmlformats.org/officeDocument/2006/relationships/hyperlink" Target="https://www.iso.org/sites/directives/current/part2/index.xhtml" TargetMode="External"/><Relationship Id="rId59" Type="http://schemas.openxmlformats.org/officeDocument/2006/relationships/hyperlink" Target="https://www.iso.org/sites/directives/current/part2/index.xhtml" TargetMode="External"/><Relationship Id="rId20" Type="http://schemas.openxmlformats.org/officeDocument/2006/relationships/hyperlink" Target="https://www.iso.org/sites/directives/current/part2/index.xhtml" TargetMode="External"/><Relationship Id="rId41" Type="http://schemas.openxmlformats.org/officeDocument/2006/relationships/hyperlink" Target="https://www.iso.org/sites/directives/current/part2/index.xhtml" TargetMode="External"/><Relationship Id="rId54" Type="http://schemas.openxmlformats.org/officeDocument/2006/relationships/hyperlink" Target="https://www.iso.org/sites/directives/current/part2/index.xhtml" TargetMode="External"/><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iso.org/sites/directives/current/part2/index.xhtml" TargetMode="External"/><Relationship Id="rId23" Type="http://schemas.openxmlformats.org/officeDocument/2006/relationships/hyperlink" Target="https://www.iso.org/sites/directives/current/part2/index.xhtml" TargetMode="External"/><Relationship Id="rId28" Type="http://schemas.openxmlformats.org/officeDocument/2006/relationships/hyperlink" Target="https://www.iso.org/sites/directives/current/part2/index.xhtml" TargetMode="External"/><Relationship Id="rId36" Type="http://schemas.openxmlformats.org/officeDocument/2006/relationships/hyperlink" Target="https://www.iso.org/sites/directives/current/part2/index.xhtml" TargetMode="External"/><Relationship Id="rId49" Type="http://schemas.openxmlformats.org/officeDocument/2006/relationships/hyperlink" Target="https://www.iso.org/sites/directives/current/part2/index.xhtml" TargetMode="External"/><Relationship Id="rId57" Type="http://schemas.openxmlformats.org/officeDocument/2006/relationships/hyperlink" Target="https://www.iso.org/sites/directives/current/part2/index.xhtml" TargetMode="External"/><Relationship Id="rId10" Type="http://schemas.openxmlformats.org/officeDocument/2006/relationships/hyperlink" Target="https://www.iso.org/sites/directives/current/part2/index.xhtml" TargetMode="External"/><Relationship Id="rId31" Type="http://schemas.openxmlformats.org/officeDocument/2006/relationships/hyperlink" Target="https://www.iso.org/sites/directives/current/part2/index.xhtml" TargetMode="External"/><Relationship Id="rId44" Type="http://schemas.openxmlformats.org/officeDocument/2006/relationships/hyperlink" Target="https://www.iso.org/sites/directives/current/part2/index.xhtml" TargetMode="External"/><Relationship Id="rId52" Type="http://schemas.openxmlformats.org/officeDocument/2006/relationships/hyperlink" Target="https://www.iso.org/sites/directives/current/part2/index.xhtml" TargetMode="External"/><Relationship Id="rId60" Type="http://schemas.openxmlformats.org/officeDocument/2006/relationships/hyperlink" Target="https://www.iso.org/sites/directives/current/part2/index.xhtml"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iso.org/sites/directives/current/part2/index.xhtml" TargetMode="External"/><Relationship Id="rId13" Type="http://schemas.openxmlformats.org/officeDocument/2006/relationships/hyperlink" Target="https://www.iso.org/sites/directives/current/part2/index.xhtml" TargetMode="External"/><Relationship Id="rId18" Type="http://schemas.openxmlformats.org/officeDocument/2006/relationships/hyperlink" Target="https://www.iso.org/sites/directives/current/part2/index.xhtml" TargetMode="External"/><Relationship Id="rId39" Type="http://schemas.openxmlformats.org/officeDocument/2006/relationships/hyperlink" Target="https://www.iso.org/sites/directives/current/part2/index.xhtm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dQ9WDKxE44Xy2jdD6qQwf6PuKQ==">CgMxLjAaHwoBMBIaChgICVIUChJ0YWJsZS40ZmZ5ZmV2aGIyeGkaHwoBMRIaChgICVIUChJ0YWJsZS5mN2N1OHhqb2Izank4AHIhMW1EeUhlOVhyVWNHMEJUWlAxM09ZS2wyRF8wTTlYVXlH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2570</Words>
  <Characters>14652</Characters>
  <Application>Microsoft Office Word</Application>
  <DocSecurity>0</DocSecurity>
  <Lines>122</Lines>
  <Paragraphs>34</Paragraphs>
  <ScaleCrop>false</ScaleCrop>
  <Company/>
  <LinksUpToDate>false</LinksUpToDate>
  <CharactersWithSpaces>17188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Peter Staar</cp:lastModifiedBy>
  <cp:revision>2</cp:revision>
  <cp:lastPrinted>2026-06-19T04:30:00Z</cp:lastPrinted>
  <dcterms:created xsi:type="dcterms:W3CDTF">2026-06-19T04:22:00Z</dcterms:created>
  <dcterms:modified xsi:type="dcterms:W3CDTF">2026-06-19T04:35:00Z</dcterms:modified>
</cp:coreProperties>
</file>