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p>
    <w:p>
      <w:pPr>
        <w:spacing w:after="80"/>
      </w:pPr>
    </w:p>
    <w:p>
      <w:pPr>
        <w:spacing w:after="80"/>
      </w:pPr>
    </w:p>
    <w:p>
      <w:pPr>
        <w:spacing w:after="80"/>
      </w:pPr>
    </w:p>
    <w:p>
      <w:pPr>
        <w:spacing w:after="80"/>
      </w:pPr>
    </w:p>
    <w:p>
      <w:pPr>
        <w:spacing w:after="80"/>
      </w:pPr>
    </w:p>
    <w:p>
      <w:pPr>
        <w:spacing w:after="200"/>
        <w:jc w:val="center"/>
      </w:pPr>
      <w:r>
        <w:rPr>
          <w:rFonts w:ascii="Arial" w:cs="Arial" w:eastAsia="Arial" w:hAnsi="Arial"/>
          <w:b/>
          <w:bCs/>
          <w:color w:val="0F6E56"/>
          <w:sz w:val="56"/>
          <w:szCs w:val="56"/>
        </w:rPr>
        <w:t xml:space="preserve">Research Knowledge Agent</w:t>
      </w:r>
    </w:p>
    <w:p>
      <w:pPr>
        <w:spacing w:after="400"/>
        <w:jc w:val="center"/>
      </w:pPr>
      <w:r>
        <w:rPr>
          <w:rFonts w:ascii="Arial" w:cs="Arial" w:eastAsia="Arial" w:hAnsi="Arial"/>
          <w:color w:val="333333"/>
          <w:sz w:val="36"/>
          <w:szCs w:val="36"/>
        </w:rPr>
        <w:t xml:space="preserve">RKA v2.0 User Manual</w:t>
      </w:r>
    </w:p>
    <w:p>
      <w:pPr>
        <w:spacing w:after="600"/>
        <w:jc w:val="center"/>
      </w:pPr>
      <w:r>
        <w:rPr>
          <w:rFonts w:ascii="Arial" w:cs="Arial" w:eastAsia="Arial" w:hAnsi="Arial"/>
          <w:color w:val="666666"/>
          <w:sz w:val="24"/>
          <w:szCs w:val="24"/>
        </w:rPr>
        <w:t xml:space="preserve">Design Philosophy • Concepts • Workflows • Reference</w:t>
      </w:r>
    </w:p>
    <w:p>
      <w:pPr>
        <w:spacing w:after="100"/>
        <w:jc w:val="center"/>
      </w:pPr>
      <w:r>
        <w:rPr>
          <w:rFonts w:ascii="Arial" w:cs="Arial" w:eastAsia="Arial" w:hAnsi="Arial"/>
          <w:color w:val="888888"/>
          <w:sz w:val="22"/>
          <w:szCs w:val="22"/>
        </w:rPr>
        <w:t xml:space="preserve">UNC Charlotte — CS / IoT / CPS Security Research</w:t>
      </w:r>
    </w:p>
    <w:p>
      <w:pPr>
        <w:spacing w:after="0"/>
        <w:jc w:val="center"/>
      </w:pPr>
      <w:r>
        <w:rPr>
          <w:rFonts w:ascii="Arial" w:cs="Arial" w:eastAsia="Arial" w:hAnsi="Arial"/>
          <w:color w:val="888888"/>
          <w:sz w:val="22"/>
          <w:szCs w:val="22"/>
        </w:rPr>
        <w:t xml:space="preserve">March 2026</w:t>
      </w:r>
    </w:p>
    <w:p>
      <w:r>
        <w:br w:type="page"/>
      </w:r>
    </w:p>
    <w:p>
      <w:pPr>
        <w:pStyle w:val="Heading1"/>
      </w:pPr>
      <w:r>
        <w:t xml:space="preserve">Table of Contents</w:t>
      </w:r>
    </w:p>
    <w:p>
      <w:pPr>
        <w:spacing w:before="200" w:after="80"/>
      </w:pPr>
      <w:r>
        <w:rPr>
          <w:b/>
          <w:bCs/>
        </w:rPr>
        <w:t xml:space="preserve">Part I — Philosophy &amp; Concepts</w:t>
      </w:r>
    </w:p>
    <w:p>
      <w:pPr>
        <w:pStyle w:val="ListParagraph"/>
        <w:numPr>
          <w:ilvl w:val="0"/>
          <w:numId w:val="2"/>
        </w:numPr>
        <w:spacing w:after="60"/>
      </w:pPr>
      <w:r>
        <w:t xml:space="preserve">Chapter 1: Why RKA Exists</w:t>
      </w:r>
    </w:p>
    <w:p>
      <w:pPr>
        <w:pStyle w:val="ListParagraph"/>
        <w:numPr>
          <w:ilvl w:val="0"/>
          <w:numId w:val="2"/>
        </w:numPr>
        <w:spacing w:after="60"/>
      </w:pPr>
      <w:r>
        <w:t xml:space="preserve">Chapter 2: Design Philosophy</w:t>
      </w:r>
    </w:p>
    <w:p>
      <w:pPr>
        <w:pStyle w:val="ListParagraph"/>
        <w:numPr>
          <w:ilvl w:val="0"/>
          <w:numId w:val="2"/>
        </w:numPr>
        <w:spacing w:after="60"/>
      </w:pPr>
      <w:r>
        <w:t xml:space="preserve">Chapter 3: The Three Actors</w:t>
      </w:r>
    </w:p>
    <w:p>
      <w:pPr>
        <w:pStyle w:val="ListParagraph"/>
        <w:numPr>
          <w:ilvl w:val="0"/>
          <w:numId w:val="2"/>
        </w:numPr>
        <w:spacing w:after="60"/>
      </w:pPr>
      <w:r>
        <w:t xml:space="preserve">Chapter 4: Core Terminology</w:t>
      </w:r>
    </w:p>
    <w:p>
      <w:pPr>
        <w:spacing w:after="80"/>
      </w:pPr>
    </w:p>
    <w:p>
      <w:pPr>
        <w:spacing w:before="100" w:after="80"/>
      </w:pPr>
      <w:r>
        <w:rPr>
          <w:b/>
          <w:bCs/>
        </w:rPr>
        <w:t xml:space="preserve">Part II — Getting Started</w:t>
      </w:r>
    </w:p>
    <w:p>
      <w:pPr>
        <w:pStyle w:val="ListParagraph"/>
        <w:numPr>
          <w:ilvl w:val="0"/>
          <w:numId w:val="3"/>
        </w:numPr>
        <w:spacing w:after="60"/>
      </w:pPr>
      <w:r>
        <w:t xml:space="preserve">Chapter 5: Installation &amp; Setup</w:t>
      </w:r>
    </w:p>
    <w:p>
      <w:pPr>
        <w:pStyle w:val="ListParagraph"/>
        <w:numPr>
          <w:ilvl w:val="0"/>
          <w:numId w:val="3"/>
        </w:numPr>
        <w:spacing w:after="60"/>
      </w:pPr>
      <w:r>
        <w:t xml:space="preserve">Chapter 6: Your First Project</w:t>
      </w:r>
    </w:p>
    <w:p>
      <w:pPr>
        <w:pStyle w:val="ListParagraph"/>
        <w:numPr>
          <w:ilvl w:val="0"/>
          <w:numId w:val="3"/>
        </w:numPr>
        <w:spacing w:after="60"/>
      </w:pPr>
      <w:r>
        <w:t xml:space="preserve">Chapter 7: The Session Protocol</w:t>
      </w:r>
    </w:p>
    <w:p>
      <w:pPr>
        <w:spacing w:after="80"/>
      </w:pPr>
    </w:p>
    <w:p>
      <w:pPr>
        <w:spacing w:before="100" w:after="80"/>
      </w:pPr>
      <w:r>
        <w:rPr>
          <w:b/>
          <w:bCs/>
        </w:rPr>
        <w:t xml:space="preserve">Part III — The Knowledge Model</w:t>
      </w:r>
    </w:p>
    <w:p>
      <w:pPr>
        <w:pStyle w:val="ListParagraph"/>
        <w:numPr>
          <w:ilvl w:val="0"/>
          <w:numId w:val="4"/>
        </w:numPr>
        <w:spacing w:after="60"/>
      </w:pPr>
      <w:r>
        <w:t xml:space="preserve">Chapter 8: Entity Types</w:t>
      </w:r>
    </w:p>
    <w:p>
      <w:pPr>
        <w:pStyle w:val="ListParagraph"/>
        <w:numPr>
          <w:ilvl w:val="0"/>
          <w:numId w:val="4"/>
        </w:numPr>
        <w:spacing w:after="60"/>
      </w:pPr>
      <w:r>
        <w:t xml:space="preserve">Chapter 9: The Provenance Chain</w:t>
      </w:r>
    </w:p>
    <w:p>
      <w:pPr>
        <w:pStyle w:val="ListParagraph"/>
        <w:numPr>
          <w:ilvl w:val="0"/>
          <w:numId w:val="4"/>
        </w:numPr>
        <w:spacing w:after="60"/>
      </w:pPr>
      <w:r>
        <w:t xml:space="preserve">Chapter 10: The Research Map</w:t>
      </w:r>
    </w:p>
    <w:p>
      <w:pPr>
        <w:pStyle w:val="ListParagraph"/>
        <w:numPr>
          <w:ilvl w:val="0"/>
          <w:numId w:val="4"/>
        </w:numPr>
        <w:spacing w:after="60"/>
      </w:pPr>
      <w:r>
        <w:t xml:space="preserve">Chapter 11: The Knowledge Graph</w:t>
      </w:r>
    </w:p>
    <w:p>
      <w:pPr>
        <w:spacing w:after="80"/>
      </w:pPr>
    </w:p>
    <w:p>
      <w:pPr>
        <w:spacing w:before="100" w:after="80"/>
      </w:pPr>
      <w:r>
        <w:rPr>
          <w:b/>
          <w:bCs/>
        </w:rPr>
        <w:t xml:space="preserve">Part IV — Workflows</w:t>
      </w:r>
    </w:p>
    <w:p>
      <w:pPr>
        <w:pStyle w:val="ListParagraph"/>
        <w:numPr>
          <w:ilvl w:val="0"/>
          <w:numId w:val="5"/>
        </w:numPr>
        <w:spacing w:after="60"/>
      </w:pPr>
      <w:r>
        <w:t xml:space="preserve">Chapter 12: Starting a New Research Project</w:t>
      </w:r>
    </w:p>
    <w:p>
      <w:pPr>
        <w:pStyle w:val="ListParagraph"/>
        <w:numPr>
          <w:ilvl w:val="0"/>
          <w:numId w:val="5"/>
        </w:numPr>
        <w:spacing w:after="60"/>
      </w:pPr>
      <w:r>
        <w:t xml:space="preserve">Chapter 13: The Mission Lifecycle</w:t>
      </w:r>
    </w:p>
    <w:p>
      <w:pPr>
        <w:pStyle w:val="ListParagraph"/>
        <w:numPr>
          <w:ilvl w:val="0"/>
          <w:numId w:val="5"/>
        </w:numPr>
        <w:spacing w:after="60"/>
      </w:pPr>
      <w:r>
        <w:t xml:space="preserve">Chapter 14: Literature Management</w:t>
      </w:r>
    </w:p>
    <w:p>
      <w:pPr>
        <w:pStyle w:val="ListParagraph"/>
        <w:numPr>
          <w:ilvl w:val="0"/>
          <w:numId w:val="5"/>
        </w:numPr>
        <w:spacing w:after="60"/>
      </w:pPr>
      <w:r>
        <w:t xml:space="preserve">Chapter 15: Brain Maintenance &amp; Enrichment</w:t>
      </w:r>
    </w:p>
    <w:p>
      <w:pPr>
        <w:spacing w:after="80"/>
      </w:pPr>
    </w:p>
    <w:p>
      <w:pPr>
        <w:spacing w:before="100" w:after="80"/>
      </w:pPr>
      <w:r>
        <w:rPr>
          <w:b/>
          <w:bCs/>
        </w:rPr>
        <w:t xml:space="preserve">Part V — Reference</w:t>
      </w:r>
    </w:p>
    <w:p>
      <w:pPr>
        <w:pStyle w:val="ListParagraph"/>
        <w:numPr>
          <w:ilvl w:val="0"/>
          <w:numId w:val="6"/>
        </w:numPr>
        <w:spacing w:after="60"/>
      </w:pPr>
      <w:r>
        <w:t xml:space="preserve">Chapter 16: MCP Tools Quick Reference</w:t>
      </w:r>
    </w:p>
    <w:p>
      <w:pPr>
        <w:pStyle w:val="ListParagraph"/>
        <w:numPr>
          <w:ilvl w:val="0"/>
          <w:numId w:val="6"/>
        </w:numPr>
        <w:spacing w:after="60"/>
      </w:pPr>
      <w:r>
        <w:t xml:space="preserve">Chapter 17: Web Dashboard Guide</w:t>
      </w:r>
    </w:p>
    <w:p>
      <w:pPr>
        <w:pStyle w:val="ListParagraph"/>
        <w:numPr>
          <w:ilvl w:val="0"/>
          <w:numId w:val="6"/>
        </w:numPr>
        <w:spacing w:after="60"/>
      </w:pPr>
      <w:r>
        <w:t xml:space="preserve">Chapter 18: Configuration</w:t>
      </w:r>
    </w:p>
    <w:p>
      <w:pPr>
        <w:pStyle w:val="ListParagraph"/>
        <w:numPr>
          <w:ilvl w:val="0"/>
          <w:numId w:val="6"/>
        </w:numPr>
        <w:spacing w:after="60"/>
      </w:pPr>
      <w:r>
        <w:t xml:space="preserve">Chapter 19: Troubleshooting</w:t>
      </w:r>
    </w:p>
    <w:p>
      <w:r>
        <w:br w:type="page"/>
      </w:r>
    </w:p>
    <w:p>
      <w:pPr>
        <w:spacing w:before="200" w:after="300"/>
      </w:pPr>
      <w:r>
        <w:rPr>
          <w:rFonts w:ascii="Arial" w:cs="Arial" w:eastAsia="Arial" w:hAnsi="Arial"/>
          <w:b/>
          <w:bCs/>
          <w:color w:val="0F6E56"/>
          <w:sz w:val="32"/>
          <w:szCs w:val="32"/>
        </w:rPr>
        <w:t xml:space="preserve">Part I — Philosophy &amp; Concepts</w:t>
      </w:r>
    </w:p>
    <w:p>
      <w:pPr>
        <w:pStyle w:val="Heading1"/>
      </w:pPr>
      <w:r>
        <w:t xml:space="preserve">Chapter 1: Why RKA Exists</w:t>
      </w:r>
    </w:p>
    <w:p>
      <w:pPr>
        <w:spacing w:after="120"/>
      </w:pPr>
      <w:r>
        <w:t xml:space="preserve">Modern research increasingly involves iterative collaboration between humans and AI systems. But most AI interfaces are session-bound. Research questions, working hypotheses, literature interpretations, negative results, methodological choices, and the reasoning behind key decisions all disappear between sessions.</w:t>
      </w:r>
    </w:p>
    <w:p>
      <w:pPr>
        <w:spacing w:after="120"/>
      </w:pPr>
      <w:r>
        <w:t xml:space="preserve">At the same time, research artifacts accumulate across papers, notes, code, datasets, experiment outputs, and meeting records without a unified structure for retrieval, provenance, or longitudinal reasoning.</w:t>
      </w:r>
    </w:p>
    <w:p>
      <w:pPr>
        <w:spacing w:after="120"/>
      </w:pPr>
      <w:r>
        <w:t xml:space="preserve">RKA addresses this by acting as a persistent knowledge layer for the research lifecycle. It stores findings with explicit confidence states from hypothesis through verification, records decisions together with alternatives and rationale, links literature to the questions and claims it informed, and maintains an event-sourced audit trail that preserves how a project evolved across weeks or months.</w:t>
      </w:r>
    </w:p>
    <w:p>
      <w:pPr>
        <w:spacing w:after="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single" w:color="0F6E56" w:sz="12"/>
              <w:bottom w:val="none" w:color="FFFFFF" w:sz="0"/>
              <w:right w:val="none" w:color="FFFFFF" w:sz="0"/>
            </w:tcBorders>
            <w:shd w:fill="E8F5F0" w:val="clear"/>
            <w:tcMar>
              <w:top w:type="dxa" w:w="100"/>
              <w:left w:type="dxa" w:w="200"/>
              <w:bottom w:type="dxa" w:w="100"/>
              <w:right w:type="dxa" w:w="200"/>
            </w:tcMar>
          </w:tcPr>
          <w:p>
            <w:pPr>
              <w:spacing w:after="60"/>
            </w:pPr>
            <w:r>
              <w:rPr>
                <w:rFonts w:ascii="Arial" w:cs="Arial" w:eastAsia="Arial" w:hAnsi="Arial"/>
                <w:b/>
                <w:bCs/>
                <w:color w:val="0F6E56"/>
                <w:sz w:val="20"/>
                <w:szCs w:val="20"/>
              </w:rPr>
              <w:t xml:space="preserve">The Core Problem</w:t>
            </w:r>
          </w:p>
          <w:p>
            <w:pPr>
              <w:spacing w:after="0"/>
            </w:pPr>
            <w:r>
              <w:rPr>
                <w:rFonts w:ascii="Arial" w:cs="Arial" w:eastAsia="Arial" w:hAnsi="Arial"/>
                <w:sz w:val="20"/>
                <w:szCs w:val="20"/>
              </w:rPr>
              <w:t xml:space="preserve">A session in month six should be able to access the accumulated context of month one: what was tried, what failed, what evidence supported a decision, what was abandoned and why, and which questions remain unresolved.</w:t>
            </w:r>
          </w:p>
        </w:tc>
      </w:tr>
    </w:tbl>
    <w:p>
      <w:pPr>
        <w:spacing w:after="80"/>
      </w:pPr>
    </w:p>
    <w:p>
      <w:pPr>
        <w:spacing w:after="120"/>
      </w:pPr>
      <w:r>
        <w:t xml:space="preserve">Without RKA, this context lives in the researcher’s head, scattered across chat logs, or in informal notes that are never connected to the decisions they informed. With RKA, the full reasoning chain is explicit, searchable, and traceable.</w:t>
      </w:r>
    </w:p>
    <w:p>
      <w:r>
        <w:br w:type="page"/>
      </w:r>
    </w:p>
    <w:p>
      <w:pPr>
        <w:pStyle w:val="Heading1"/>
      </w:pPr>
      <w:r>
        <w:t xml:space="preserve">Chapter 2: Design Philosophy</w:t>
      </w:r>
    </w:p>
    <w:p>
      <w:pPr>
        <w:pStyle w:val="Heading2"/>
      </w:pPr>
      <w:r>
        <w:t xml:space="preserve">2.1 — Bookkeeper, Not Thinker</w:t>
      </w:r>
    </w:p>
    <w:p>
      <w:pPr>
        <w:spacing w:after="120"/>
      </w:pPr>
      <w:r>
        <w:t xml:space="preserve">RKA’s governing principle is that it is a bookkeeper and message transmitter, not a thinker. RKA stores, retrieves, links, and surfaces knowledge. It does not make research decisions, interpret findings, or generate hypotheses. That intelligence belongs to the Brain (Claude) and the PI (you).</w:t>
      </w:r>
    </w:p>
    <w:p>
      <w:pPr>
        <w:spacing w:after="120"/>
      </w:pPr>
      <w:r>
        <w:t xml:space="preserve">This means RKA has no local LLM requirement. In v2.0, all intelligent enrichment — tagging, claim extraction, cluster synthesis, contradiction resolution — is performed by the Brain during sessions, not by a background process. RKA only runs fast, reliable, non-LLM operations automatically: full-text search indexing and embedding generation.</w:t>
      </w:r>
    </w:p>
    <w:p>
      <w:pPr>
        <w:spacing w:after="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single" w:color="0F6E56" w:sz="12"/>
              <w:bottom w:val="none" w:color="FFFFFF" w:sz="0"/>
              <w:right w:val="none" w:color="FFFFFF" w:sz="0"/>
            </w:tcBorders>
            <w:shd w:fill="E8F5F0" w:val="clear"/>
            <w:tcMar>
              <w:top w:type="dxa" w:w="100"/>
              <w:left w:type="dxa" w:w="200"/>
              <w:bottom w:type="dxa" w:w="100"/>
              <w:right w:type="dxa" w:w="200"/>
            </w:tcMar>
          </w:tcPr>
          <w:p>
            <w:pPr>
              <w:spacing w:after="60"/>
            </w:pPr>
            <w:r>
              <w:rPr>
                <w:rFonts w:ascii="Arial" w:cs="Arial" w:eastAsia="Arial" w:hAnsi="Arial"/>
                <w:b/>
                <w:bCs/>
                <w:color w:val="0F6E56"/>
                <w:sz w:val="20"/>
                <w:szCs w:val="20"/>
              </w:rPr>
              <w:t xml:space="preserve">Why No Local LLM?</w:t>
            </w:r>
          </w:p>
          <w:p>
            <w:pPr>
              <w:spacing w:after="0"/>
            </w:pPr>
            <w:r>
              <w:rPr>
                <w:rFonts w:ascii="Arial" w:cs="Arial" w:eastAsia="Arial" w:hAnsi="Arial"/>
                <w:sz w:val="20"/>
                <w:szCs w:val="20"/>
              </w:rPr>
              <w:t xml:space="preserve">Earlier versions required a local LLM (e.g., qwen3.5 via LM Studio) for background enrichment. This caused two problems: (1) onboarding friction — users needed LM Studio + sufficient VRAM, and (2) silent accuracy degradation — a weak model produced confidently wrong claim types, garbage cluster syntheses, and misleading research maps. An un-processed entry is honest; a wrongly-processed entry is dangerous.</w:t>
            </w:r>
          </w:p>
        </w:tc>
      </w:tr>
    </w:tbl>
    <w:p>
      <w:pPr>
        <w:spacing w:after="80"/>
      </w:pPr>
    </w:p>
    <w:p>
      <w:pPr>
        <w:pStyle w:val="Heading2"/>
      </w:pPr>
      <w:r>
        <w:t xml:space="preserve">2.2 — Immutable Data, Mutable Interpretation</w:t>
      </w:r>
    </w:p>
    <w:p>
      <w:pPr>
        <w:spacing w:after="120"/>
      </w:pPr>
      <w:r>
        <w:t xml:space="preserve">Raw data (journal entries, literature, mission reports) is immutable once created. You can supersede an entry but never delete the original. The interpretation layer (claims, clusters, research themes) is always reconstructable from the raw data.</w:t>
      </w:r>
    </w:p>
    <w:p>
      <w:pPr>
        <w:spacing w:after="120"/>
      </w:pPr>
      <w:r>
        <w:t xml:space="preserve">When a framing decision is overturned, RKA doesn’t change the raw entries — it re-distills the derived structures (claims, clusters) under the new framing. The audit trail preserves both the old and new interpretations.</w:t>
      </w:r>
    </w:p>
    <w:p>
      <w:pPr>
        <w:pStyle w:val="Heading2"/>
      </w:pPr>
      <w:r>
        <w:t xml:space="preserve">2.3 — Provenance Is Non-Negotiable</w:t>
      </w:r>
    </w:p>
    <w:p>
      <w:pPr>
        <w:spacing w:after="120"/>
      </w:pPr>
      <w:r>
        <w:t xml:space="preserve">Every entity in RKA must know why it exists. Decisions must link to the evidence that justified them. Missions must link to the decision that motivated them. Journal entries must link to the decisions they bear on. Literature must link to the decisions it informed.</w:t>
      </w:r>
    </w:p>
    <w:p>
      <w:pPr>
        <w:spacing w:after="120"/>
      </w:pPr>
      <w:r>
        <w:t xml:space="preserve">This is enforced through the Brain’s instructions, not through code validation. The Brain is told to always provide provenance links when creating entities, and the maintenance manifest detects orphaned entities so the Brain can repair them.</w:t>
      </w:r>
    </w:p>
    <w:p>
      <w:pPr>
        <w:pStyle w:val="Heading2"/>
      </w:pPr>
      <w:r>
        <w:t xml:space="preserve">2.4 — The Brain Handles Intelligence</w:t>
      </w:r>
    </w:p>
    <w:p>
      <w:pPr>
        <w:spacing w:after="120"/>
      </w:pPr>
      <w:r>
        <w:t xml:space="preserve">With the local LLM removed, all knowledge enrichment happens when the Brain is present:</w:t>
      </w:r>
    </w:p>
    <w:p>
      <w:pPr>
        <w:pStyle w:val="ListParagraph"/>
        <w:numPr>
          <w:ilvl w:val="0"/>
          <w:numId w:val="7"/>
        </w:numPr>
        <w:spacing w:after="60"/>
      </w:pPr>
      <w:r>
        <w:t xml:space="preserve">Tagging and linking entries it creates (inline, at creation time)</w:t>
      </w:r>
    </w:p>
    <w:p>
      <w:pPr>
        <w:pStyle w:val="ListParagraph"/>
        <w:numPr>
          <w:ilvl w:val="0"/>
          <w:numId w:val="7"/>
        </w:numPr>
        <w:spacing w:after="60"/>
      </w:pPr>
      <w:r>
        <w:t xml:space="preserve">Processing un-enriched entries from Executor/web UI at session start</w:t>
      </w:r>
    </w:p>
    <w:p>
      <w:pPr>
        <w:pStyle w:val="ListParagraph"/>
        <w:numPr>
          <w:ilvl w:val="0"/>
          <w:numId w:val="7"/>
        </w:numPr>
        <w:spacing w:after="60"/>
      </w:pPr>
      <w:r>
        <w:t xml:space="preserve">Extracting claims from journal entries</w:t>
      </w:r>
    </w:p>
    <w:p>
      <w:pPr>
        <w:pStyle w:val="ListParagraph"/>
        <w:numPr>
          <w:ilvl w:val="0"/>
          <w:numId w:val="7"/>
        </w:numPr>
        <w:spacing w:after="60"/>
      </w:pPr>
      <w:r>
        <w:t xml:space="preserve">Synthesizing evidence clusters and resolving contradictions</w:t>
      </w:r>
    </w:p>
    <w:p>
      <w:pPr>
        <w:pStyle w:val="ListParagraph"/>
        <w:numPr>
          <w:ilvl w:val="0"/>
          <w:numId w:val="7"/>
        </w:numPr>
        <w:spacing w:after="60"/>
      </w:pPr>
      <w:r>
        <w:t xml:space="preserve">Gap analysis and evidence evaluation</w:t>
      </w:r>
    </w:p>
    <w:p>
      <w:pPr>
        <w:pStyle w:val="ListParagraph"/>
        <w:numPr>
          <w:ilvl w:val="0"/>
          <w:numId w:val="7"/>
        </w:numPr>
        <w:spacing w:after="60"/>
      </w:pPr>
      <w:r>
        <w:t xml:space="preserve">Assigning clusters to research questions</w:t>
      </w:r>
    </w:p>
    <w:p>
      <w:pPr>
        <w:spacing w:after="120"/>
      </w:pPr>
      <w:r>
        <w:t xml:space="preserve">The Brain reads a maintenance manifest at the start of each session and silently processes pending items before greeting the user. This keeps the knowledge base healthy without requiring any user action.</w:t>
      </w:r>
    </w:p>
    <w:p>
      <w:r>
        <w:br w:type="page"/>
      </w:r>
    </w:p>
    <w:p>
      <w:pPr>
        <w:pStyle w:val="Heading1"/>
      </w:pPr>
      <w:r>
        <w:t xml:space="preserve">Chapter 3: The Three Actors</w:t>
      </w:r>
    </w:p>
    <w:p>
      <w:pPr>
        <w:pStyle w:val="Heading2"/>
      </w:pPr>
      <w:r>
        <w:t xml:space="preserve">3.1 — Brain (Claude Desktop)</w:t>
      </w:r>
    </w:p>
    <w:p>
      <w:pPr>
        <w:spacing w:after="120"/>
      </w:pPr>
      <w:r>
        <w:t xml:space="preserve">The Brain is the strategic layer. It interprets findings, decides research direction, manages literature, reviews evidence clusters, resolves contradictions, and creates missions for the Executor. The Brain communicates with RKA through MCP tools.</w:t>
      </w:r>
    </w:p>
    <w:p>
      <w:pPr>
        <w:spacing w:after="120"/>
      </w:pPr>
      <w:r>
        <w:t xml:space="preserve">The Brain does NOT implement code, run experiments, or edit files directly. It delegates implementation work to the Executor via missions.</w:t>
      </w:r>
    </w:p>
    <w:p>
      <w:pPr>
        <w:pStyle w:val="Heading2"/>
      </w:pPr>
      <w:r>
        <w:t xml:space="preserve">3.2 — Executor (Claude Code)</w:t>
      </w:r>
    </w:p>
    <w:p>
      <w:pPr>
        <w:spacing w:after="120"/>
      </w:pPr>
      <w:r>
        <w:t xml:space="preserve">The Executor is the implementation layer. It runs experiments, writes code, collects data, and processes files. It receives missions from the Brain, executes the tasks, submits reports, and raises checkpoints when it needs Brain/PI input.</w:t>
      </w:r>
    </w:p>
    <w:p>
      <w:pPr>
        <w:spacing w:after="120"/>
      </w:pPr>
      <w:r>
        <w:t xml:space="preserve">The Executor should read the mission’s context links (motivated_by_decision, related journal entries, related literature) before starting work, so it understands not just what to do but why.</w:t>
      </w:r>
    </w:p>
    <w:p>
      <w:pPr>
        <w:pStyle w:val="Heading2"/>
      </w:pPr>
      <w:r>
        <w:t xml:space="preserve">3.3 — PI (Human Researcher)</w:t>
      </w:r>
    </w:p>
    <w:p>
      <w:pPr>
        <w:spacing w:after="120"/>
      </w:pPr>
      <w:r>
        <w:t xml:space="preserve">The PI (Principal Investigator) supervises both the Brain and Executor. The PI resolves escalated checkpoints, provides domain expertise, sets the overall research direction, and has final authority on all decisions.</w:t>
      </w:r>
    </w:p>
    <w:p>
      <w:pPr>
        <w:spacing w:after="120"/>
      </w:pPr>
      <w:r>
        <w:t xml:space="preserve">The PI can interact with RKA through the web dashboard (browsing, Q&amp;A, project management), through the REST API, or by asking the Brain to perform actions.</w:t>
      </w:r>
    </w:p>
    <w:p>
      <w:pPr>
        <w:pStyle w:val="Heading2"/>
      </w:pPr>
      <w:r>
        <w:t xml:space="preserve">3.4 — How They Collaborate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00"/>
        <w:gridCol w:w="2500"/>
        <w:gridCol w:w="2860"/>
        <w:gridCol w:w="2500"/>
      </w:tblGrid>
      <w:tr>
        <w:tc>
          <w:tcPr>
            <w:tcW w:type="dxa" w:w="150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Actor</w:t>
            </w:r>
          </w:p>
        </w:tc>
        <w:tc>
          <w:tcPr>
            <w:tcW w:type="dxa" w:w="250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Creates</w:t>
            </w:r>
          </w:p>
        </w:tc>
        <w:tc>
          <w:tcPr>
            <w:tcW w:type="dxa" w:w="286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Reads</w:t>
            </w:r>
          </w:p>
        </w:tc>
        <w:tc>
          <w:tcPr>
            <w:tcW w:type="dxa" w:w="250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Responsibility</w:t>
            </w:r>
          </w:p>
        </w:tc>
      </w:tr>
      <w:tr>
        <w:tc>
          <w:tcPr>
            <w:tcW w:type="dxa" w:w="1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Brain</w:t>
            </w:r>
          </w:p>
        </w:tc>
        <w:tc>
          <w:tcPr>
            <w:tcW w:type="dxa" w:w="2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Decisions, notes, literature, missions, claims, cluster syntheses</w:t>
            </w:r>
          </w:p>
        </w:tc>
        <w:tc>
          <w:tcPr>
            <w:tcW w:type="dxa" w:w="28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Context packages, research map, review queue, maintenance manifest</w:t>
            </w:r>
          </w:p>
        </w:tc>
        <w:tc>
          <w:tcPr>
            <w:tcW w:type="dxa" w:w="2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Strategy, synthesis, enrichment</w:t>
            </w:r>
          </w:p>
        </w:tc>
      </w:tr>
      <w:tr>
        <w:tc>
          <w:tcPr>
            <w:tcW w:type="dxa" w:w="1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Executor</w:t>
            </w:r>
          </w:p>
        </w:tc>
        <w:tc>
          <w:tcPr>
            <w:tcW w:type="dxa" w:w="2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Log entries, reports, checkpoints</w:t>
            </w:r>
          </w:p>
        </w:tc>
        <w:tc>
          <w:tcPr>
            <w:tcW w:type="dxa" w:w="28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Missions, context for assigned work</w:t>
            </w:r>
          </w:p>
        </w:tc>
        <w:tc>
          <w:tcPr>
            <w:tcW w:type="dxa" w:w="2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Implementation, experiments, data</w:t>
            </w:r>
          </w:p>
        </w:tc>
      </w:tr>
      <w:tr>
        <w:tc>
          <w:tcPr>
            <w:tcW w:type="dxa" w:w="1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PI</w:t>
            </w:r>
          </w:p>
        </w:tc>
        <w:tc>
          <w:tcPr>
            <w:tcW w:type="dxa" w:w="2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Directives, checkpoint resolutions</w:t>
            </w:r>
          </w:p>
        </w:tc>
        <w:tc>
          <w:tcPr>
            <w:tcW w:type="dxa" w:w="28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Dashboard, audit log, research map</w:t>
            </w:r>
          </w:p>
        </w:tc>
        <w:tc>
          <w:tcPr>
            <w:tcW w:type="dxa" w:w="2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Oversight, domain expertise, direction</w:t>
            </w:r>
          </w:p>
        </w:tc>
      </w:tr>
    </w:tbl>
    <w:p>
      <w:r>
        <w:br w:type="page"/>
      </w:r>
    </w:p>
    <w:p>
      <w:pPr>
        <w:pStyle w:val="Heading1"/>
      </w:pPr>
      <w:r>
        <w:t xml:space="preserve">Chapter 4: Core Terminology</w:t>
      </w:r>
    </w:p>
    <w:p>
      <w:pPr>
        <w:pStyle w:val="Heading2"/>
      </w:pPr>
      <w:r>
        <w:t xml:space="preserve">4.1 — Entities</w:t>
      </w:r>
    </w:p>
    <w:p>
      <w:pPr>
        <w:spacing w:after="120"/>
      </w:pPr>
      <w:r>
        <w:t xml:space="preserve">RKA stores research knowledge in seven entity types. Each has a type-prefixed ULID identifier (globally unique, sortable by creation time).</w:t>
      </w:r>
    </w:p>
    <w:p>
      <w:pPr>
        <w:spacing w:after="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1360"/>
        <w:gridCol w:w="6000"/>
      </w:tblGrid>
      <w:tr>
        <w:tc>
          <w:tcPr>
            <w:tcW w:type="dxa" w:w="200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Entity</w:t>
            </w:r>
          </w:p>
        </w:tc>
        <w:tc>
          <w:tcPr>
            <w:tcW w:type="dxa" w:w="136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ID Prefix</w:t>
            </w:r>
          </w:p>
        </w:tc>
        <w:tc>
          <w:tcPr>
            <w:tcW w:type="dxa" w:w="600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What It Stores</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Journal Entry</w:t>
            </w:r>
          </w:p>
        </w:tc>
        <w:tc>
          <w:tcPr>
            <w:tcW w:type="dxa" w:w="1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jrn_</w:t>
            </w:r>
          </w:p>
        </w:tc>
        <w:tc>
          <w:tcPr>
            <w:tcW w:type="dxa" w:w="6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Findings, observations, ideas, procedures, instructions. The raw data layer.</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Decision</w:t>
            </w:r>
          </w:p>
        </w:tc>
        <w:tc>
          <w:tcPr>
            <w:tcW w:type="dxa" w:w="1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dec_</w:t>
            </w:r>
          </w:p>
        </w:tc>
        <w:tc>
          <w:tcPr>
            <w:tcW w:type="dxa" w:w="6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Research choices with options, rationale, and outcome. Forms a tree structure.</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Literature</w:t>
            </w:r>
          </w:p>
        </w:tc>
        <w:tc>
          <w:tcPr>
            <w:tcW w:type="dxa" w:w="1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lit_</w:t>
            </w:r>
          </w:p>
        </w:tc>
        <w:tc>
          <w:tcPr>
            <w:tcW w:type="dxa" w:w="6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Papers, articles, books. Tracked through a reading pipeline.</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Mission</w:t>
            </w:r>
          </w:p>
        </w:tc>
        <w:tc>
          <w:tcPr>
            <w:tcW w:type="dxa" w:w="1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mis_</w:t>
            </w:r>
          </w:p>
        </w:tc>
        <w:tc>
          <w:tcPr>
            <w:tcW w:type="dxa" w:w="6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Task packages assigned to the Executor with objectives and acceptance criteria.</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Checkpoint</w:t>
            </w:r>
          </w:p>
        </w:tc>
        <w:tc>
          <w:tcPr>
            <w:tcW w:type="dxa" w:w="1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chk_</w:t>
            </w:r>
          </w:p>
        </w:tc>
        <w:tc>
          <w:tcPr>
            <w:tcW w:type="dxa" w:w="6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Escalation points where the Executor needs Brain/PI input.</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Claim</w:t>
            </w:r>
          </w:p>
        </w:tc>
        <w:tc>
          <w:tcPr>
            <w:tcW w:type="dxa" w:w="1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clm_</w:t>
            </w:r>
          </w:p>
        </w:tc>
        <w:tc>
          <w:tcPr>
            <w:tcW w:type="dxa" w:w="6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Atomic facts extracted from journal entries by the Brain.</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Evidence Cluster</w:t>
            </w:r>
          </w:p>
        </w:tc>
        <w:tc>
          <w:tcPr>
            <w:tcW w:type="dxa" w:w="1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ecl_</w:t>
            </w:r>
          </w:p>
        </w:tc>
        <w:tc>
          <w:tcPr>
            <w:tcW w:type="dxa" w:w="6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Groups of related claims with a Brain-written synthesis.</w:t>
            </w:r>
          </w:p>
        </w:tc>
      </w:tr>
    </w:tbl>
    <w:p>
      <w:pPr>
        <w:spacing w:after="80"/>
      </w:pPr>
    </w:p>
    <w:p>
      <w:pPr>
        <w:pStyle w:val="Heading2"/>
      </w:pPr>
      <w:r>
        <w:t xml:space="preserve">4.2 — Journal Entry Types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00"/>
        <w:gridCol w:w="3430"/>
        <w:gridCol w:w="4430"/>
      </w:tblGrid>
      <w:tr>
        <w:tc>
          <w:tcPr>
            <w:tcW w:type="dxa" w:w="150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Type</w:t>
            </w:r>
          </w:p>
        </w:tc>
        <w:tc>
          <w:tcPr>
            <w:tcW w:type="dxa" w:w="343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When to Use</w:t>
            </w:r>
          </w:p>
        </w:tc>
        <w:tc>
          <w:tcPr>
            <w:tcW w:type="dxa" w:w="443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Example</w:t>
            </w:r>
          </w:p>
        </w:tc>
      </w:tr>
      <w:tr>
        <w:tc>
          <w:tcPr>
            <w:tcW w:type="dxa" w:w="1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note</w:t>
            </w:r>
          </w:p>
        </w:tc>
        <w:tc>
          <w:tcPr>
            <w:tcW w:type="dxa" w:w="343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You observed, analyzed, or discovered something</w:t>
            </w:r>
          </w:p>
        </w:tc>
        <w:tc>
          <w:tcPr>
            <w:tcW w:type="dxa" w:w="443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Experiment result, insight, literature observation</w:t>
            </w:r>
          </w:p>
        </w:tc>
      </w:tr>
      <w:tr>
        <w:tc>
          <w:tcPr>
            <w:tcW w:type="dxa" w:w="1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log</w:t>
            </w:r>
          </w:p>
        </w:tc>
        <w:tc>
          <w:tcPr>
            <w:tcW w:type="dxa" w:w="343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You performed a procedure step</w:t>
            </w:r>
          </w:p>
        </w:tc>
        <w:tc>
          <w:tcPr>
            <w:tcW w:type="dxa" w:w="443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Ran stress test, deployed config, executed script</w:t>
            </w:r>
          </w:p>
        </w:tc>
      </w:tr>
      <w:tr>
        <w:tc>
          <w:tcPr>
            <w:tcW w:type="dxa" w:w="1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directive</w:t>
            </w:r>
          </w:p>
        </w:tc>
        <w:tc>
          <w:tcPr>
            <w:tcW w:type="dxa" w:w="343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Instructions from PI or Brain</w:t>
            </w:r>
          </w:p>
        </w:tc>
        <w:tc>
          <w:tcPr>
            <w:tcW w:type="dxa" w:w="443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PI instruction, Brain guidance, scope clarification</w:t>
            </w:r>
          </w:p>
        </w:tc>
      </w:tr>
    </w:tbl>
    <w:p>
      <w:pPr>
        <w:spacing w:after="80"/>
      </w:pPr>
    </w:p>
    <w:p>
      <w:pPr>
        <w:pStyle w:val="Heading2"/>
      </w:pPr>
      <w:r>
        <w:t xml:space="preserve">4.3 — Claim Types</w:t>
      </w:r>
    </w:p>
    <w:p>
      <w:pPr>
        <w:spacing w:after="120"/>
      </w:pPr>
      <w:r>
        <w:t xml:space="preserve">Claims are atomic facts extracted from journal entries. Each claim has a type that describes what kind of knowledge it represents: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3280"/>
        <w:gridCol w:w="4280"/>
      </w:tblGrid>
      <w:tr>
        <w:tc>
          <w:tcPr>
            <w:tcW w:type="dxa" w:w="180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Claim Type</w:t>
            </w:r>
          </w:p>
        </w:tc>
        <w:tc>
          <w:tcPr>
            <w:tcW w:type="dxa" w:w="328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What It Means</w:t>
            </w:r>
          </w:p>
        </w:tc>
        <w:tc>
          <w:tcPr>
            <w:tcW w:type="dxa" w:w="428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Example</w:t>
            </w:r>
          </w:p>
        </w:tc>
      </w:tr>
      <w:tr>
        <w:tc>
          <w:tcPr>
            <w:tcW w:type="dxa" w:w="1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hypothesis</w:t>
            </w:r>
          </w:p>
        </w:tc>
        <w:tc>
          <w:tcPr>
            <w:tcW w:type="dxa" w:w="328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A proposed explanation or prediction</w:t>
            </w:r>
          </w:p>
        </w:tc>
        <w:tc>
          <w:tcPr>
            <w:tcW w:type="dxa" w:w="428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The broker needs horizontal scaling</w:t>
            </w:r>
          </w:p>
        </w:tc>
      </w:tr>
      <w:tr>
        <w:tc>
          <w:tcPr>
            <w:tcW w:type="dxa" w:w="1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evidence</w:t>
            </w:r>
          </w:p>
        </w:tc>
        <w:tc>
          <w:tcPr>
            <w:tcW w:type="dxa" w:w="328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A factual observation from data</w:t>
            </w:r>
          </w:p>
        </w:tc>
        <w:tc>
          <w:tcPr>
            <w:tcW w:type="dxa" w:w="428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12% packet loss above 400 connections</w:t>
            </w:r>
          </w:p>
        </w:tc>
      </w:tr>
      <w:tr>
        <w:tc>
          <w:tcPr>
            <w:tcW w:type="dxa" w:w="1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method</w:t>
            </w:r>
          </w:p>
        </w:tc>
        <w:tc>
          <w:tcPr>
            <w:tcW w:type="dxa" w:w="328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A procedure or technique used</w:t>
            </w:r>
          </w:p>
        </w:tc>
        <w:tc>
          <w:tcPr>
            <w:tcW w:type="dxa" w:w="428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Tested MQTT with 500 concurrent devices</w:t>
            </w:r>
          </w:p>
        </w:tc>
      </w:tr>
      <w:tr>
        <w:tc>
          <w:tcPr>
            <w:tcW w:type="dxa" w:w="1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result</w:t>
            </w:r>
          </w:p>
        </w:tc>
        <w:tc>
          <w:tcPr>
            <w:tcW w:type="dxa" w:w="328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An experiment outcome</w:t>
            </w:r>
          </w:p>
        </w:tc>
        <w:tc>
          <w:tcPr>
            <w:tcW w:type="dxa" w:w="428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Throughput improved 3x after sharding</w:t>
            </w:r>
          </w:p>
        </w:tc>
      </w:tr>
      <w:tr>
        <w:tc>
          <w:tcPr>
            <w:tcW w:type="dxa" w:w="1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observation</w:t>
            </w:r>
          </w:p>
        </w:tc>
        <w:tc>
          <w:tcPr>
            <w:tcW w:type="dxa" w:w="328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Something noticed (not from controlled experiment)</w:t>
            </w:r>
          </w:p>
        </w:tc>
        <w:tc>
          <w:tcPr>
            <w:tcW w:type="dxa" w:w="428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The LLM includes its prompt in the synthesis</w:t>
            </w:r>
          </w:p>
        </w:tc>
      </w:tr>
      <w:tr>
        <w:tc>
          <w:tcPr>
            <w:tcW w:type="dxa" w:w="1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assumption</w:t>
            </w:r>
          </w:p>
        </w:tc>
        <w:tc>
          <w:tcPr>
            <w:tcW w:type="dxa" w:w="328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Something taken as given without proof</w:t>
            </w:r>
          </w:p>
        </w:tc>
        <w:tc>
          <w:tcPr>
            <w:tcW w:type="dxa" w:w="428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Network latency is negligible at this scale</w:t>
            </w:r>
          </w:p>
        </w:tc>
      </w:tr>
    </w:tbl>
    <w:p>
      <w:pPr>
        <w:spacing w:after="80"/>
      </w:pPr>
    </w:p>
    <w:p>
      <w:pPr>
        <w:pStyle w:val="Heading2"/>
      </w:pPr>
      <w:r>
        <w:t xml:space="preserve">4.4 — Confidence Levels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3680"/>
        <w:gridCol w:w="3680"/>
      </w:tblGrid>
      <w:tr>
        <w:tc>
          <w:tcPr>
            <w:tcW w:type="dxa" w:w="200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Level</w:t>
            </w:r>
          </w:p>
        </w:tc>
        <w:tc>
          <w:tcPr>
            <w:tcW w:type="dxa" w:w="368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Meaning</w:t>
            </w:r>
          </w:p>
        </w:tc>
        <w:tc>
          <w:tcPr>
            <w:tcW w:type="dxa" w:w="368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When to Use</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hypothesis</w:t>
            </w:r>
          </w:p>
        </w:tc>
        <w:tc>
          <w:tcPr>
            <w:tcW w:type="dxa" w:w="368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Proposed but untested</w:t>
            </w:r>
          </w:p>
        </w:tc>
        <w:tc>
          <w:tcPr>
            <w:tcW w:type="dxa" w:w="368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Initial ideas, early observations</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tested</w:t>
            </w:r>
          </w:p>
        </w:tc>
        <w:tc>
          <w:tcPr>
            <w:tcW w:type="dxa" w:w="368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Tried but not independently verified</w:t>
            </w:r>
          </w:p>
        </w:tc>
        <w:tc>
          <w:tcPr>
            <w:tcW w:type="dxa" w:w="368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Experiment results, first analysis</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verified</w:t>
            </w:r>
          </w:p>
        </w:tc>
        <w:tc>
          <w:tcPr>
            <w:tcW w:type="dxa" w:w="368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Confirmed by multiple sources or methods</w:t>
            </w:r>
          </w:p>
        </w:tc>
        <w:tc>
          <w:tcPr>
            <w:tcW w:type="dxa" w:w="368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Replicated results, cross-validated</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superseded</w:t>
            </w:r>
          </w:p>
        </w:tc>
        <w:tc>
          <w:tcPr>
            <w:tcW w:type="dxa" w:w="368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Replaced by newer information</w:t>
            </w:r>
          </w:p>
        </w:tc>
        <w:tc>
          <w:tcPr>
            <w:tcW w:type="dxa" w:w="368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Outdated findings after new evidence</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retracted</w:t>
            </w:r>
          </w:p>
        </w:tc>
        <w:tc>
          <w:tcPr>
            <w:tcW w:type="dxa" w:w="368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Withdrawn as incorrect</w:t>
            </w:r>
          </w:p>
        </w:tc>
        <w:tc>
          <w:tcPr>
            <w:tcW w:type="dxa" w:w="368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Disproven hypotheses</w:t>
            </w:r>
          </w:p>
        </w:tc>
      </w:tr>
    </w:tbl>
    <w:p>
      <w:pPr>
        <w:spacing w:after="80"/>
      </w:pPr>
    </w:p>
    <w:p>
      <w:pPr>
        <w:pStyle w:val="Heading2"/>
      </w:pPr>
      <w:r>
        <w:t xml:space="preserve">4.5 — Cluster Confidence Badges</w:t>
      </w:r>
    </w:p>
    <w:p>
      <w:pPr>
        <w:spacing w:after="120"/>
      </w:pPr>
      <w:r>
        <w:t xml:space="preserve">Evidence clusters have confidence badges that indicate how solid the evidence is: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Badge</w:t>
            </w:r>
          </w:p>
        </w:tc>
        <w:tc>
          <w:tcPr>
            <w:tcW w:type="dxa" w:w="736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Meaning</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strong</w:t>
            </w:r>
          </w:p>
        </w:tc>
        <w:tc>
          <w:tcPr>
            <w:tcW w:type="dxa" w:w="7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Multiple verified claims that agree — this topic is well-understood</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moderate</w:t>
            </w:r>
          </w:p>
        </w:tc>
        <w:tc>
          <w:tcPr>
            <w:tcW w:type="dxa" w:w="7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Some evidence but not fully verified — more work needed</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emerging</w:t>
            </w:r>
          </w:p>
        </w:tc>
        <w:tc>
          <w:tcPr>
            <w:tcW w:type="dxa" w:w="7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Very little evidence — only 1–2 claims, early stage</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contested</w:t>
            </w:r>
          </w:p>
        </w:tc>
        <w:tc>
          <w:tcPr>
            <w:tcW w:type="dxa" w:w="7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Claims disagree with each other — active contradiction</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refuted</w:t>
            </w:r>
          </w:p>
        </w:tc>
        <w:tc>
          <w:tcPr>
            <w:tcW w:type="dxa" w:w="7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Evidence contradicts the original claim</w:t>
            </w:r>
          </w:p>
        </w:tc>
      </w:tr>
    </w:tbl>
    <w:p>
      <w:pPr>
        <w:spacing w:after="80"/>
      </w:pPr>
    </w:p>
    <w:p>
      <w:pPr>
        <w:pStyle w:val="Heading2"/>
      </w:pPr>
      <w:r>
        <w:t xml:space="preserve">4.6 — Link Types (Provenance)</w:t>
      </w:r>
    </w:p>
    <w:p>
      <w:pPr>
        <w:spacing w:after="120"/>
      </w:pPr>
      <w:r>
        <w:t xml:space="preserve">Entities are connected by typed links that form provenance chains. The 12 link types are: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2800"/>
        <w:gridCol w:w="4360"/>
      </w:tblGrid>
      <w:tr>
        <w:tc>
          <w:tcPr>
            <w:tcW w:type="dxa" w:w="220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Link Type</w:t>
            </w:r>
          </w:p>
        </w:tc>
        <w:tc>
          <w:tcPr>
            <w:tcW w:type="dxa" w:w="280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Direction</w:t>
            </w:r>
          </w:p>
        </w:tc>
        <w:tc>
          <w:tcPr>
            <w:tcW w:type="dxa" w:w="436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Meaning</w:t>
            </w:r>
          </w:p>
        </w:tc>
      </w:tr>
      <w:tr>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justified_by</w:t>
            </w:r>
          </w:p>
        </w:tc>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decision ← journal</w:t>
            </w:r>
          </w:p>
        </w:tc>
        <w:tc>
          <w:tcPr>
            <w:tcW w:type="dxa" w:w="4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This journal entry justified this decision</w:t>
            </w:r>
          </w:p>
        </w:tc>
      </w:tr>
      <w:tr>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informed_by</w:t>
            </w:r>
          </w:p>
        </w:tc>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decision ← literature</w:t>
            </w:r>
          </w:p>
        </w:tc>
        <w:tc>
          <w:tcPr>
            <w:tcW w:type="dxa" w:w="4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This paper informed this decision</w:t>
            </w:r>
          </w:p>
        </w:tc>
      </w:tr>
      <w:tr>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motivated</w:t>
            </w:r>
          </w:p>
        </w:tc>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decision → mission</w:t>
            </w:r>
          </w:p>
        </w:tc>
        <w:tc>
          <w:tcPr>
            <w:tcW w:type="dxa" w:w="4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This decision motivated creating this mission</w:t>
            </w:r>
          </w:p>
        </w:tc>
      </w:tr>
      <w:tr>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produced</w:t>
            </w:r>
          </w:p>
        </w:tc>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mission → journal</w:t>
            </w:r>
          </w:p>
        </w:tc>
        <w:tc>
          <w:tcPr>
            <w:tcW w:type="dxa" w:w="4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This mission produced this journal entry</w:t>
            </w:r>
          </w:p>
        </w:tc>
      </w:tr>
      <w:tr>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derived_from</w:t>
            </w:r>
          </w:p>
        </w:tc>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claim ← journal</w:t>
            </w:r>
          </w:p>
        </w:tc>
        <w:tc>
          <w:tcPr>
            <w:tcW w:type="dxa" w:w="4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This claim was extracted from this entry</w:t>
            </w:r>
          </w:p>
        </w:tc>
      </w:tr>
      <w:tr>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cites</w:t>
            </w:r>
          </w:p>
        </w:tc>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journal → literature</w:t>
            </w:r>
          </w:p>
        </w:tc>
        <w:tc>
          <w:tcPr>
            <w:tcW w:type="dxa" w:w="4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This entry cites this paper</w:t>
            </w:r>
          </w:p>
        </w:tc>
      </w:tr>
      <w:tr>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references</w:t>
            </w:r>
          </w:p>
        </w:tc>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any → any</w:t>
            </w:r>
          </w:p>
        </w:tc>
        <w:tc>
          <w:tcPr>
            <w:tcW w:type="dxa" w:w="4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General reference link</w:t>
            </w:r>
          </w:p>
        </w:tc>
      </w:tr>
      <w:tr>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supports</w:t>
            </w:r>
          </w:p>
        </w:tc>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claim → claim</w:t>
            </w:r>
          </w:p>
        </w:tc>
        <w:tc>
          <w:tcPr>
            <w:tcW w:type="dxa" w:w="4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This claim supports that claim</w:t>
            </w:r>
          </w:p>
        </w:tc>
      </w:tr>
      <w:tr>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contradicts</w:t>
            </w:r>
          </w:p>
        </w:tc>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claim → claim</w:t>
            </w:r>
          </w:p>
        </w:tc>
        <w:tc>
          <w:tcPr>
            <w:tcW w:type="dxa" w:w="4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This claim contradicts that claim</w:t>
            </w:r>
          </w:p>
        </w:tc>
      </w:tr>
      <w:tr>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supersedes</w:t>
            </w:r>
          </w:p>
        </w:tc>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entity → entity</w:t>
            </w:r>
          </w:p>
        </w:tc>
        <w:tc>
          <w:tcPr>
            <w:tcW w:type="dxa" w:w="4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This entity replaces an older one</w:t>
            </w:r>
          </w:p>
        </w:tc>
      </w:tr>
      <w:tr>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resolved_as</w:t>
            </w:r>
          </w:p>
        </w:tc>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checkpoint → decision</w:t>
            </w:r>
          </w:p>
        </w:tc>
        <w:tc>
          <w:tcPr>
            <w:tcW w:type="dxa" w:w="4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This checkpoint was resolved as this decision</w:t>
            </w:r>
          </w:p>
        </w:tc>
      </w:tr>
      <w:tr>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builds_on</w:t>
            </w:r>
          </w:p>
        </w:tc>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any → any</w:t>
            </w:r>
          </w:p>
        </w:tc>
        <w:tc>
          <w:tcPr>
            <w:tcW w:type="dxa" w:w="4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This entity builds on prior work</w:t>
            </w:r>
          </w:p>
        </w:tc>
      </w:tr>
    </w:tbl>
    <w:p>
      <w:r>
        <w:br w:type="page"/>
      </w:r>
    </w:p>
    <w:p>
      <w:pPr>
        <w:spacing w:before="200" w:after="300"/>
      </w:pPr>
      <w:r>
        <w:rPr>
          <w:rFonts w:ascii="Arial" w:cs="Arial" w:eastAsia="Arial" w:hAnsi="Arial"/>
          <w:b/>
          <w:bCs/>
          <w:color w:val="0F6E56"/>
          <w:sz w:val="32"/>
          <w:szCs w:val="32"/>
        </w:rPr>
        <w:t xml:space="preserve">Part II — Getting Started</w:t>
      </w:r>
    </w:p>
    <w:p>
      <w:pPr>
        <w:pStyle w:val="Heading1"/>
      </w:pPr>
      <w:r>
        <w:t xml:space="preserve">Chapter 5: Installation &amp; Setup</w:t>
      </w:r>
    </w:p>
    <w:p>
      <w:pPr>
        <w:pStyle w:val="Heading2"/>
      </w:pPr>
      <w:r>
        <w:t xml:space="preserve">5.1 — Docker (Recommended)</w:t>
      </w:r>
    </w:p>
    <w:p>
      <w:pPr>
        <w:spacing w:after="120"/>
      </w:pPr>
      <w:r>
        <w:t xml:space="preserve">Docker is the simplest way to run RKA. It requires no Python environment, no Node.js, and no local LLM.</w:t>
      </w:r>
    </w:p>
    <w:p>
      <w:pPr>
        <w:spacing w:after="120"/>
      </w:pPr>
      <w:r>
        <w:rPr>
          <w:b/>
          <w:bCs/>
        </w:rPr>
        <w:t xml:space="preserve">Prerequisites: </w:t>
      </w:r>
      <w:r>
        <w:t xml:space="preserve">Docker Desktop (docker.com/products/docker-desktop)</w:t>
      </w:r>
    </w:p>
    <w:p>
      <w:pPr>
        <w:spacing w:after="120"/>
      </w:pPr>
      <w:r>
        <w:rPr>
          <w:b/>
          <w:bCs/>
        </w:rPr>
        <w:t xml:space="preserve">Steps:</w:t>
      </w:r>
    </w:p>
    <w:p>
      <w:pPr>
        <w:pStyle w:val="ListParagraph"/>
        <w:numPr>
          <w:ilvl w:val="0"/>
          <w:numId w:val="8"/>
        </w:numPr>
        <w:spacing w:after="60"/>
      </w:pPr>
      <w:r>
        <w:t xml:space="preserve">git clone https://github.com/infinitywings/rka.git &amp;&amp; cd rka</w:t>
      </w:r>
    </w:p>
    <w:p>
      <w:pPr>
        <w:pStyle w:val="ListParagraph"/>
        <w:numPr>
          <w:ilvl w:val="0"/>
          <w:numId w:val="8"/>
        </w:numPr>
        <w:spacing w:after="60"/>
      </w:pPr>
      <w:r>
        <w:t xml:space="preserve">docker compose up -d</w:t>
      </w:r>
    </w:p>
    <w:p>
      <w:pPr>
        <w:pStyle w:val="ListParagraph"/>
        <w:numPr>
          <w:ilvl w:val="0"/>
          <w:numId w:val="8"/>
        </w:numPr>
        <w:spacing w:after="60"/>
      </w:pPr>
      <w:r>
        <w:t xml:space="preserve">Open http://localhost:9712 in your browser</w:t>
      </w:r>
    </w:p>
    <w:p>
      <w:pPr>
        <w:spacing w:after="80"/>
      </w:pPr>
    </w:p>
    <w:p>
      <w:pPr>
        <w:pStyle w:val="Heading2"/>
      </w:pPr>
      <w:r>
        <w:t xml:space="preserve">5.2 — Connect Claude Desktop (MCP)</w:t>
      </w:r>
    </w:p>
    <w:p>
      <w:pPr>
        <w:spacing w:after="120"/>
      </w:pPr>
      <w:r>
        <w:t xml:space="preserve">Add to your Claude Desktop MCP configuration file:</w:t>
      </w:r>
    </w:p>
    <w:p>
      <w:pPr>
        <w:spacing w:after="120"/>
      </w:pPr>
      <w:r>
        <w:t xml:space="preserve">{ "rka": { "command": "docker", "args": ["exec", "-i", "rka-server", "rka", "mcp"] } }</w:t>
      </w:r>
    </w:p>
    <w:p>
      <w:pPr>
        <w:spacing w:after="80"/>
      </w:pPr>
    </w:p>
    <w:p>
      <w:pPr>
        <w:pStyle w:val="Heading2"/>
      </w:pPr>
      <w:r>
        <w:t xml:space="preserve">5.3 — Connect Claude Code (MCP via pipx)</w:t>
      </w:r>
    </w:p>
    <w:p>
      <w:pPr>
        <w:spacing w:after="120"/>
      </w:pPr>
      <w:r>
        <w:t xml:space="preserve">Install the MCP binary outside Docker so Claude Code can launch it:</w:t>
      </w:r>
    </w:p>
    <w:p>
      <w:pPr>
        <w:spacing w:after="120"/>
      </w:pPr>
      <w:r>
        <w:t xml:space="preserve">pipx install . --force</w:t>
      </w:r>
    </w:p>
    <w:p>
      <w:pPr>
        <w:spacing w:after="120"/>
      </w:pPr>
      <w:r>
        <w:t xml:space="preserve">{ "rka": { "command": "/Users/&lt;you&gt;/.local/bin/rka", "args": ["mcp"] } }</w:t>
      </w:r>
    </w:p>
    <w:p>
      <w:pPr>
        <w:spacing w:after="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single" w:color="0F6E56" w:sz="12"/>
              <w:bottom w:val="none" w:color="FFFFFF" w:sz="0"/>
              <w:right w:val="none" w:color="FFFFFF" w:sz="0"/>
            </w:tcBorders>
            <w:shd w:fill="E8F5F0" w:val="clear"/>
            <w:tcMar>
              <w:top w:type="dxa" w:w="100"/>
              <w:left w:type="dxa" w:w="200"/>
              <w:bottom w:type="dxa" w:w="100"/>
              <w:right w:type="dxa" w:w="200"/>
            </w:tcMar>
          </w:tcPr>
          <w:p>
            <w:pPr>
              <w:spacing w:after="60"/>
            </w:pPr>
            <w:r>
              <w:rPr>
                <w:rFonts w:ascii="Arial" w:cs="Arial" w:eastAsia="Arial" w:hAnsi="Arial"/>
                <w:b/>
                <w:bCs/>
                <w:color w:val="0F6E56"/>
                <w:sz w:val="20"/>
                <w:szCs w:val="20"/>
              </w:rPr>
              <w:t xml:space="preserve">After Code Changes</w:t>
            </w:r>
          </w:p>
          <w:p>
            <w:pPr>
              <w:spacing w:after="0"/>
            </w:pPr>
            <w:r>
              <w:rPr>
                <w:rFonts w:ascii="Arial" w:cs="Arial" w:eastAsia="Arial" w:hAnsi="Arial"/>
                <w:sz w:val="20"/>
                <w:szCs w:val="20"/>
              </w:rPr>
              <w:t xml:space="preserve">Always run: pipx install . --force (update MCP binary) then docker compose up -d --build (update server).</w:t>
            </w:r>
          </w:p>
        </w:tc>
      </w:tr>
    </w:tbl>
    <w:p>
      <w:r>
        <w:br w:type="page"/>
      </w:r>
    </w:p>
    <w:p>
      <w:pPr>
        <w:pStyle w:val="Heading1"/>
      </w:pPr>
      <w:r>
        <w:t xml:space="preserve">Chapter 6: Your First Project</w:t>
      </w:r>
    </w:p>
    <w:p>
      <w:pPr>
        <w:pStyle w:val="Heading2"/>
      </w:pPr>
      <w:r>
        <w:t xml:space="preserve">6.1 — Creating a Project</w:t>
      </w:r>
    </w:p>
    <w:p>
      <w:pPr>
        <w:spacing w:after="120"/>
      </w:pPr>
      <w:r>
        <w:t xml:space="preserve">RKA supports multiple isolated projects. When you first start RKA, a default project exists. To create a new one:</w:t>
      </w:r>
    </w:p>
    <w:p>
      <w:pPr>
        <w:spacing w:after="120"/>
      </w:pPr>
      <w:r>
        <w:rPr>
          <w:b/>
          <w:bCs/>
        </w:rPr>
        <w:t xml:space="preserve">Via web dashboard: </w:t>
      </w:r>
      <w:r>
        <w:t xml:space="preserve">Click the + button next to the project selector in the sidebar.</w:t>
      </w:r>
    </w:p>
    <w:p>
      <w:pPr>
        <w:spacing w:after="120"/>
      </w:pPr>
      <w:r>
        <w:rPr>
          <w:b/>
          <w:bCs/>
        </w:rPr>
        <w:t xml:space="preserve">Via MCP: </w:t>
      </w:r>
      <w:r>
        <w:t xml:space="preserve">Brain calls rka_create_project(name="IoT Security Analysis", description="Systematic review of CPS vulnerabilities")</w:t>
      </w:r>
    </w:p>
    <w:p>
      <w:pPr>
        <w:spacing w:after="80"/>
      </w:pPr>
    </w:p>
    <w:p>
      <w:pPr>
        <w:pStyle w:val="Heading2"/>
      </w:pPr>
      <w:r>
        <w:t xml:space="preserve">6.2 — Switching Projects</w:t>
      </w:r>
    </w:p>
    <w:p>
      <w:pPr>
        <w:spacing w:after="120"/>
      </w:pPr>
      <w:r>
        <w:rPr>
          <w:b/>
          <w:bCs/>
        </w:rPr>
        <w:t xml:space="preserve">Via web dashboard: </w:t>
      </w:r>
      <w:r>
        <w:t xml:space="preserve">Use the project dropdown in the sidebar.</w:t>
      </w:r>
    </w:p>
    <w:p>
      <w:pPr>
        <w:spacing w:after="120"/>
      </w:pPr>
      <w:r>
        <w:rPr>
          <w:b/>
          <w:bCs/>
        </w:rPr>
        <w:t xml:space="preserve">Via MCP: </w:t>
      </w:r>
      <w:r>
        <w:t xml:space="preserve">Brain calls rka_list_projects() then rka_set_project(id).</w:t>
      </w:r>
    </w:p>
    <w:p>
      <w:pPr>
        <w:spacing w:after="80"/>
      </w:pPr>
    </w:p>
    <w:p>
      <w:pPr>
        <w:pStyle w:val="Heading2"/>
      </w:pPr>
      <w:r>
        <w:t xml:space="preserve">6.3 — Project Lifecycle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Action</w:t>
            </w:r>
          </w:p>
        </w:tc>
        <w:tc>
          <w:tcPr>
            <w:tcW w:type="dxa" w:w="736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How</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Create</w:t>
            </w:r>
          </w:p>
        </w:tc>
        <w:tc>
          <w:tcPr>
            <w:tcW w:type="dxa" w:w="7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Web UI + button or rka_create_project()</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Switch</w:t>
            </w:r>
          </w:p>
        </w:tc>
        <w:tc>
          <w:tcPr>
            <w:tcW w:type="dxa" w:w="7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Web UI dropdown or rka_set_project()</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Export</w:t>
            </w:r>
          </w:p>
        </w:tc>
        <w:tc>
          <w:tcPr>
            <w:tcW w:type="dxa" w:w="7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GET /api/projects/export — downloads a .rka-pack.zip</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Import</w:t>
            </w:r>
          </w:p>
        </w:tc>
        <w:tc>
          <w:tcPr>
            <w:tcW w:type="dxa" w:w="7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POST /api/projects/import — uploads a pack into a new project</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Delete</w:t>
            </w:r>
          </w:p>
        </w:tc>
        <w:tc>
          <w:tcPr>
            <w:tcW w:type="dxa" w:w="7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Web UI trash icon with confirmation dialog (recommends export first)</w:t>
            </w:r>
          </w:p>
        </w:tc>
      </w:tr>
    </w:tbl>
    <w:p>
      <w:r>
        <w:br w:type="page"/>
      </w:r>
    </w:p>
    <w:p>
      <w:pPr>
        <w:pStyle w:val="Heading1"/>
      </w:pPr>
      <w:r>
        <w:t xml:space="preserve">Chapter 7: The Session Protocol</w:t>
      </w:r>
    </w:p>
    <w:p>
      <w:pPr>
        <w:pStyle w:val="Heading2"/>
      </w:pPr>
      <w:r>
        <w:t xml:space="preserve">7.1 — Brain Session Start</w:t>
      </w:r>
    </w:p>
    <w:p>
      <w:pPr>
        <w:spacing w:after="120"/>
      </w:pPr>
      <w:r>
        <w:t xml:space="preserve">Every Brain session should begin with these steps. The RKA_INSTRUCTIONS tell the Brain to do this automatically: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800"/>
        <w:gridCol w:w="3500"/>
        <w:gridCol w:w="5060"/>
      </w:tblGrid>
      <w:tr>
        <w:tc>
          <w:tcPr>
            <w:tcW w:type="dxa" w:w="80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Step</w:t>
            </w:r>
          </w:p>
        </w:tc>
        <w:tc>
          <w:tcPr>
            <w:tcW w:type="dxa" w:w="350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Tool Call</w:t>
            </w:r>
          </w:p>
        </w:tc>
        <w:tc>
          <w:tcPr>
            <w:tcW w:type="dxa" w:w="506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Purpose</w:t>
            </w:r>
          </w:p>
        </w:tc>
      </w:tr>
      <w:tr>
        <w:tc>
          <w:tcPr>
            <w:tcW w:type="dxa" w:w="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1</w:t>
            </w:r>
          </w:p>
        </w:tc>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rka_get_status()</w:t>
            </w:r>
          </w:p>
        </w:tc>
        <w:tc>
          <w:tcPr>
            <w:tcW w:type="dxa" w:w="50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Load project phase, summary, metrics</w:t>
            </w:r>
          </w:p>
        </w:tc>
      </w:tr>
      <w:tr>
        <w:tc>
          <w:tcPr>
            <w:tcW w:type="dxa" w:w="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2</w:t>
            </w:r>
          </w:p>
        </w:tc>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rka_get_context(topic="current work")</w:t>
            </w:r>
          </w:p>
        </w:tc>
        <w:tc>
          <w:tcPr>
            <w:tcW w:type="dxa" w:w="50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Load recent knowledge relevant to the current focus</w:t>
            </w:r>
          </w:p>
        </w:tc>
      </w:tr>
      <w:tr>
        <w:tc>
          <w:tcPr>
            <w:tcW w:type="dxa" w:w="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3</w:t>
            </w:r>
          </w:p>
        </w:tc>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rka_get_pending_maintenance()</w:t>
            </w:r>
          </w:p>
        </w:tc>
        <w:tc>
          <w:tcPr>
            <w:tcW w:type="dxa" w:w="50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Check for provenance gaps, untagged entries, orphaned clusters</w:t>
            </w:r>
          </w:p>
        </w:tc>
      </w:tr>
      <w:tr>
        <w:tc>
          <w:tcPr>
            <w:tcW w:type="dxa" w:w="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4</w:t>
            </w:r>
          </w:p>
        </w:tc>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Process maintenance items (silent)</w:t>
            </w:r>
          </w:p>
        </w:tc>
        <w:tc>
          <w:tcPr>
            <w:tcW w:type="dxa" w:w="50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Tag entries, add links, extract claims — up to 10 items</w:t>
            </w:r>
          </w:p>
        </w:tc>
      </w:tr>
      <w:tr>
        <w:tc>
          <w:tcPr>
            <w:tcW w:type="dxa" w:w="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5</w:t>
            </w:r>
          </w:p>
        </w:tc>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Greet the user</w:t>
            </w:r>
          </w:p>
        </w:tc>
        <w:tc>
          <w:tcPr>
            <w:tcW w:type="dxa" w:w="50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Begin the actual conversation</w:t>
            </w:r>
          </w:p>
        </w:tc>
      </w:tr>
    </w:tbl>
    <w:p>
      <w:pPr>
        <w:spacing w:after="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single" w:color="0F6E56" w:sz="12"/>
              <w:bottom w:val="none" w:color="FFFFFF" w:sz="0"/>
              <w:right w:val="none" w:color="FFFFFF" w:sz="0"/>
            </w:tcBorders>
            <w:shd w:fill="E8F5F0" w:val="clear"/>
            <w:tcMar>
              <w:top w:type="dxa" w:w="100"/>
              <w:left w:type="dxa" w:w="200"/>
              <w:bottom w:type="dxa" w:w="100"/>
              <w:right w:type="dxa" w:w="200"/>
            </w:tcMar>
          </w:tcPr>
          <w:p>
            <w:pPr>
              <w:spacing w:after="60"/>
            </w:pPr>
            <w:r>
              <w:rPr>
                <w:rFonts w:ascii="Arial" w:cs="Arial" w:eastAsia="Arial" w:hAnsi="Arial"/>
                <w:b/>
                <w:bCs/>
                <w:color w:val="0F6E56"/>
                <w:sz w:val="20"/>
                <w:szCs w:val="20"/>
              </w:rPr>
              <w:t xml:space="preserve">Silent Maintenance</w:t>
            </w:r>
          </w:p>
          <w:p>
            <w:pPr>
              <w:spacing w:after="0"/>
            </w:pPr>
            <w:r>
              <w:rPr>
                <w:rFonts w:ascii="Arial" w:cs="Arial" w:eastAsia="Arial" w:hAnsi="Arial"/>
                <w:sz w:val="20"/>
                <w:szCs w:val="20"/>
              </w:rPr>
              <w:t xml:space="preserve">The Brain handles housekeeping as a brief preamble to every session, like a good assistant tidying the desk before starting work. The user sees their knowledge base gradually improving without doing anything.</w:t>
            </w:r>
          </w:p>
        </w:tc>
      </w:tr>
    </w:tbl>
    <w:p>
      <w:pPr>
        <w:spacing w:after="80"/>
      </w:pPr>
    </w:p>
    <w:p>
      <w:pPr>
        <w:pStyle w:val="Heading2"/>
      </w:pPr>
      <w:r>
        <w:t xml:space="preserve">7.2 — Executor Session Start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800"/>
        <w:gridCol w:w="4060"/>
        <w:gridCol w:w="4500"/>
      </w:tblGrid>
      <w:tr>
        <w:tc>
          <w:tcPr>
            <w:tcW w:type="dxa" w:w="80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Step</w:t>
            </w:r>
          </w:p>
        </w:tc>
        <w:tc>
          <w:tcPr>
            <w:tcW w:type="dxa" w:w="406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Tool Call</w:t>
            </w:r>
          </w:p>
        </w:tc>
        <w:tc>
          <w:tcPr>
            <w:tcW w:type="dxa" w:w="450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Purpose</w:t>
            </w:r>
          </w:p>
        </w:tc>
      </w:tr>
      <w:tr>
        <w:tc>
          <w:tcPr>
            <w:tcW w:type="dxa" w:w="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1</w:t>
            </w:r>
          </w:p>
        </w:tc>
        <w:tc>
          <w:tcPr>
            <w:tcW w:type="dxa" w:w="40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rka_get_mission()</w:t>
            </w:r>
          </w:p>
        </w:tc>
        <w:tc>
          <w:tcPr>
            <w:tcW w:type="dxa" w:w="4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Load the current assigned mission with tasks</w:t>
            </w:r>
          </w:p>
        </w:tc>
      </w:tr>
      <w:tr>
        <w:tc>
          <w:tcPr>
            <w:tcW w:type="dxa" w:w="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2</w:t>
            </w:r>
          </w:p>
        </w:tc>
        <w:tc>
          <w:tcPr>
            <w:tcW w:type="dxa" w:w="40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Read mission context links</w:t>
            </w:r>
          </w:p>
        </w:tc>
        <w:tc>
          <w:tcPr>
            <w:tcW w:type="dxa" w:w="4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Use rka_get(id) on motivated_by_decision, related journal/literature</w:t>
            </w:r>
          </w:p>
        </w:tc>
      </w:tr>
      <w:tr>
        <w:tc>
          <w:tcPr>
            <w:tcW w:type="dxa" w:w="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3</w:t>
            </w:r>
          </w:p>
        </w:tc>
        <w:tc>
          <w:tcPr>
            <w:tcW w:type="dxa" w:w="40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rka_get_context(topic="&lt;mission topic&gt;")</w:t>
            </w:r>
          </w:p>
        </w:tc>
        <w:tc>
          <w:tcPr>
            <w:tcW w:type="dxa" w:w="4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Load relevant prior knowledge</w:t>
            </w:r>
          </w:p>
        </w:tc>
      </w:tr>
    </w:tbl>
    <w:p>
      <w:pPr>
        <w:spacing w:after="80"/>
      </w:pPr>
    </w:p>
    <w:p>
      <w:pPr>
        <w:pStyle w:val="Heading2"/>
      </w:pPr>
      <w:r>
        <w:t xml:space="preserve">7.3 — Recording Standards</w:t>
      </w:r>
    </w:p>
    <w:p>
      <w:pPr>
        <w:spacing w:after="120"/>
      </w:pPr>
      <w:r>
        <w:t xml:space="preserve">When creating entities, always provide provenance links: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2800"/>
        <w:gridCol w:w="4360"/>
      </w:tblGrid>
      <w:tr>
        <w:tc>
          <w:tcPr>
            <w:tcW w:type="dxa" w:w="220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Situation</w:t>
            </w:r>
          </w:p>
        </w:tc>
        <w:tc>
          <w:tcPr>
            <w:tcW w:type="dxa" w:w="280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Tool</w:t>
            </w:r>
          </w:p>
        </w:tc>
        <w:tc>
          <w:tcPr>
            <w:tcW w:type="dxa" w:w="436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Required Links</w:t>
            </w:r>
          </w:p>
        </w:tc>
      </w:tr>
      <w:tr>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Making a decision</w:t>
            </w:r>
          </w:p>
        </w:tc>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rka_add_decision</w:t>
            </w:r>
          </w:p>
        </w:tc>
        <w:tc>
          <w:tcPr>
            <w:tcW w:type="dxa" w:w="4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related_journal (what evidence?), related_literature (what papers?)</w:t>
            </w:r>
          </w:p>
        </w:tc>
      </w:tr>
      <w:tr>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Creating a mission</w:t>
            </w:r>
          </w:p>
        </w:tc>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rka_create_mission</w:t>
            </w:r>
          </w:p>
        </w:tc>
        <w:tc>
          <w:tcPr>
            <w:tcW w:type="dxa" w:w="4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motivated_by_decision (which decision spawned this?)</w:t>
            </w:r>
          </w:p>
        </w:tc>
      </w:tr>
      <w:tr>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Recording a finding</w:t>
            </w:r>
          </w:p>
        </w:tc>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rka_add_note</w:t>
            </w:r>
          </w:p>
        </w:tc>
        <w:tc>
          <w:tcPr>
            <w:tcW w:type="dxa" w:w="4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related_decisions, related_mission, related_literature</w:t>
            </w:r>
          </w:p>
        </w:tc>
      </w:tr>
      <w:tr>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Finishing a mission</w:t>
            </w:r>
          </w:p>
        </w:tc>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rka_submit_report</w:t>
            </w:r>
          </w:p>
        </w:tc>
        <w:tc>
          <w:tcPr>
            <w:tcW w:type="dxa" w:w="4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related_decisions (which decisions do the results bear on?)</w:t>
            </w:r>
          </w:p>
        </w:tc>
      </w:tr>
    </w:tbl>
    <w:p>
      <w:r>
        <w:br w:type="page"/>
      </w:r>
    </w:p>
    <w:p>
      <w:pPr>
        <w:spacing w:before="200" w:after="300"/>
      </w:pPr>
      <w:r>
        <w:rPr>
          <w:rFonts w:ascii="Arial" w:cs="Arial" w:eastAsia="Arial" w:hAnsi="Arial"/>
          <w:b/>
          <w:bCs/>
          <w:color w:val="0F6E56"/>
          <w:sz w:val="32"/>
          <w:szCs w:val="32"/>
        </w:rPr>
        <w:t xml:space="preserve">Part III — The Knowledge Model</w:t>
      </w:r>
    </w:p>
    <w:p>
      <w:pPr>
        <w:pStyle w:val="Heading1"/>
      </w:pPr>
      <w:r>
        <w:t xml:space="preserve">Chapter 8: Entity Types in Detail</w:t>
      </w:r>
    </w:p>
    <w:p>
      <w:pPr>
        <w:pStyle w:val="Heading2"/>
      </w:pPr>
      <w:r>
        <w:t xml:space="preserve">8.1 — Journal Entries</w:t>
      </w:r>
    </w:p>
    <w:p>
      <w:pPr>
        <w:spacing w:after="120"/>
      </w:pPr>
      <w:r>
        <w:t xml:space="preserve">Journal entries are the raw data layer. Every observation, experiment result, meeting note, idea, and procedure step gets recorded as a journal entry. Entries are immutable once created (you can supersede them but not delete them).</w:t>
      </w:r>
    </w:p>
    <w:p>
      <w:pPr>
        <w:spacing w:after="120"/>
      </w:pPr>
      <w:r>
        <w:rPr>
          <w:b/>
          <w:bCs/>
        </w:rPr>
        <w:t xml:space="preserve">Fields: </w:t>
      </w:r>
      <w:r>
        <w:t xml:space="preserve">content (text), type (note/log/directive), source (brain/executor/pi), confidence, importance, phase, tags, related_decisions, related_literature, related_mission.</w:t>
      </w:r>
    </w:p>
    <w:p>
      <w:pPr>
        <w:spacing w:after="80"/>
      </w:pPr>
    </w:p>
    <w:p>
      <w:pPr>
        <w:pStyle w:val="Heading2"/>
      </w:pPr>
      <w:r>
        <w:t xml:space="preserve">8.2 — Decisions</w:t>
      </w:r>
    </w:p>
    <w:p>
      <w:pPr>
        <w:spacing w:after="120"/>
      </w:pPr>
      <w:r>
        <w:t xml:space="preserve">Decisions record every non-trivial choice in the research process. Each decision has a question, a set of options considered, the chosen option, and the rationale. Decisions form a tree structure (parent/child relationships).</w:t>
      </w:r>
    </w:p>
    <w:p>
      <w:pPr>
        <w:spacing w:after="120"/>
      </w:pPr>
      <w:r>
        <w:rPr>
          <w:b/>
          <w:bCs/>
        </w:rPr>
        <w:t xml:space="preserve">Special kind: Research Questions. </w:t>
      </w:r>
      <w:r>
        <w:t xml:space="preserve">A decision with kind="research_question" becomes a top-level node in the Research Map. Research questions organize the entire knowledge structure.</w:t>
      </w:r>
    </w:p>
    <w:p>
      <w:pPr>
        <w:spacing w:after="120"/>
      </w:pPr>
      <w:r>
        <w:rPr>
          <w:b/>
          <w:bCs/>
        </w:rPr>
        <w:t xml:space="preserve">Decision statuses: </w:t>
      </w:r>
      <w:r>
        <w:t xml:space="preserve">active (current), abandoned (discarded with reason), superseded (replaced by a newer decision), revisit (flagged for reconsideration).</w:t>
      </w:r>
    </w:p>
    <w:p>
      <w:pPr>
        <w:spacing w:after="80"/>
      </w:pPr>
    </w:p>
    <w:p>
      <w:pPr>
        <w:pStyle w:val="Heading2"/>
      </w:pPr>
      <w:r>
        <w:t xml:space="preserve">8.3 — Literature</w:t>
      </w:r>
    </w:p>
    <w:p>
      <w:pPr>
        <w:spacing w:after="120"/>
      </w:pPr>
      <w:r>
        <w:t xml:space="preserve">Literature entries track papers, articles, and books through a reading pipeline:</w:t>
      </w:r>
    </w:p>
    <w:p>
      <w:pPr>
        <w:spacing w:after="120"/>
      </w:pPr>
      <w:r>
        <w:rPr>
          <w:b/>
          <w:bCs/>
        </w:rPr>
        <w:t xml:space="preserve">Pipeline: </w:t>
      </w:r>
      <w:r>
        <w:t xml:space="preserve">to_read → reading → read → cited → excluded.</w:t>
      </w:r>
    </w:p>
    <w:p>
      <w:pPr>
        <w:spacing w:after="120"/>
      </w:pPr>
      <w:r>
        <w:t xml:space="preserve">Literature can be imported via BibTeX, DOI lookup (CrossRef), Semantic Scholar search, or arXiv search. Each entry stores title, authors, year, venue, DOI, abstract, key findings, methodology notes, relevance assessment, and related decisions.</w:t>
      </w:r>
    </w:p>
    <w:p>
      <w:pPr>
        <w:spacing w:after="80"/>
      </w:pPr>
    </w:p>
    <w:p>
      <w:pPr>
        <w:pStyle w:val="Heading2"/>
      </w:pPr>
      <w:r>
        <w:t xml:space="preserve">8.4 — Missions</w:t>
      </w:r>
    </w:p>
    <w:p>
      <w:pPr>
        <w:spacing w:after="120"/>
      </w:pPr>
      <w:r>
        <w:t xml:space="preserve">Missions are task packages assigned by the Brain to the Executor. Each mission has an objective, a task list, context, acceptance criteria, scope boundaries, and checkpoint triggers.</w:t>
      </w:r>
    </w:p>
    <w:p>
      <w:pPr>
        <w:spacing w:after="120"/>
      </w:pPr>
      <w:r>
        <w:rPr>
          <w:b/>
          <w:bCs/>
        </w:rPr>
        <w:t xml:space="preserve">Lifecycle: </w:t>
      </w:r>
      <w:r>
        <w:t xml:space="preserve">pending → active → complete/partial/blocked/cancelled.</w:t>
      </w:r>
    </w:p>
    <w:p>
      <w:pPr>
        <w:spacing w:after="120"/>
      </w:pPr>
      <w:r>
        <w:rPr>
          <w:b/>
          <w:bCs/>
        </w:rPr>
        <w:t xml:space="preserve">Key provenance link: </w:t>
      </w:r>
      <w:r>
        <w:t xml:space="preserve">motivated_by_decision — every mission should link to the decision that triggered it, so the Executor knows why the work exists.</w:t>
      </w:r>
    </w:p>
    <w:p>
      <w:pPr>
        <w:spacing w:after="80"/>
      </w:pPr>
    </w:p>
    <w:p>
      <w:pPr>
        <w:pStyle w:val="Heading2"/>
      </w:pPr>
      <w:r>
        <w:t xml:space="preserve">8.5 — Checkpoints</w:t>
      </w:r>
    </w:p>
    <w:p>
      <w:pPr>
        <w:spacing w:after="120"/>
      </w:pPr>
      <w:r>
        <w:t xml:space="preserve">Checkpoints are escalation points where the Executor needs Brain or PI input. Three types: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4080"/>
        <w:gridCol w:w="3080"/>
      </w:tblGrid>
      <w:tr>
        <w:tc>
          <w:tcPr>
            <w:tcW w:type="dxa" w:w="220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Type</w:t>
            </w:r>
          </w:p>
        </w:tc>
        <w:tc>
          <w:tcPr>
            <w:tcW w:type="dxa" w:w="408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When to Use</w:t>
            </w:r>
          </w:p>
        </w:tc>
        <w:tc>
          <w:tcPr>
            <w:tcW w:type="dxa" w:w="308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Who Resolves</w:t>
            </w:r>
          </w:p>
        </w:tc>
      </w:tr>
      <w:tr>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clarification</w:t>
            </w:r>
          </w:p>
        </w:tc>
        <w:tc>
          <w:tcPr>
            <w:tcW w:type="dxa" w:w="408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Executor needs more information</w:t>
            </w:r>
          </w:p>
        </w:tc>
        <w:tc>
          <w:tcPr>
            <w:tcW w:type="dxa" w:w="308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Brain (often auto-resolved)</w:t>
            </w:r>
          </w:p>
        </w:tc>
      </w:tr>
      <w:tr>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decision</w:t>
            </w:r>
          </w:p>
        </w:tc>
        <w:tc>
          <w:tcPr>
            <w:tcW w:type="dxa" w:w="408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A non-trivial choice needs to be made</w:t>
            </w:r>
          </w:p>
        </w:tc>
        <w:tc>
          <w:tcPr>
            <w:tcW w:type="dxa" w:w="308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Brain (may need PI input)</w:t>
            </w:r>
          </w:p>
        </w:tc>
      </w:tr>
      <w:tr>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inspection</w:t>
            </w:r>
          </w:p>
        </w:tc>
        <w:tc>
          <w:tcPr>
            <w:tcW w:type="dxa" w:w="408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Work needs human review</w:t>
            </w:r>
          </w:p>
        </w:tc>
        <w:tc>
          <w:tcPr>
            <w:tcW w:type="dxa" w:w="308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PI directly</w:t>
            </w:r>
          </w:p>
        </w:tc>
      </w:tr>
    </w:tbl>
    <w:p>
      <w:r>
        <w:br w:type="page"/>
      </w:r>
    </w:p>
    <w:p>
      <w:pPr>
        <w:pStyle w:val="Heading1"/>
      </w:pPr>
      <w:r>
        <w:t xml:space="preserve">Chapter 9: The Provenance Chain</w:t>
      </w:r>
    </w:p>
    <w:p>
      <w:pPr>
        <w:spacing w:after="120"/>
      </w:pPr>
      <w:r>
        <w:t xml:space="preserve">The provenance chain is RKA’s most important feature. It answers the question: "Why does this entity exist?"</w:t>
      </w:r>
    </w:p>
    <w:p>
      <w:pPr>
        <w:spacing w:after="80"/>
      </w:pPr>
    </w:p>
    <w:p>
      <w:pPr>
        <w:spacing w:after="120"/>
      </w:pPr>
      <w:r>
        <w:t xml:space="preserve">A complete provenance chain looks like this:</w:t>
      </w:r>
    </w:p>
    <w:p>
      <w:pPr>
        <w:spacing w:after="80"/>
      </w:pPr>
    </w:p>
    <w:p>
      <w:pPr>
        <w:spacing w:after="120"/>
      </w:pPr>
      <w:r>
        <w:rPr>
          <w:b/>
          <w:bCs/>
        </w:rPr>
        <w:t xml:space="preserve">Literature</w:t>
      </w:r>
      <w:r>
        <w:t xml:space="preserve"> (MQTT benchmarks) → </w:t>
      </w:r>
      <w:r>
        <w:rPr>
          <w:b/>
          <w:bCs/>
        </w:rPr>
        <w:t xml:space="preserve">informed</w:t>
      </w:r>
      <w:r>
        <w:t xml:space="preserve"> → </w:t>
      </w:r>
      <w:r>
        <w:rPr>
          <w:b/>
          <w:bCs/>
        </w:rPr>
        <w:t xml:space="preserve">Decision</w:t>
      </w:r>
      <w:r>
        <w:t xml:space="preserve"> (test broker limits) → </w:t>
      </w:r>
      <w:r>
        <w:rPr>
          <w:b/>
          <w:bCs/>
        </w:rPr>
        <w:t xml:space="preserve">motivated</w:t>
      </w:r>
      <w:r>
        <w:t xml:space="preserve"> → </w:t>
      </w:r>
      <w:r>
        <w:rPr>
          <w:b/>
          <w:bCs/>
        </w:rPr>
        <w:t xml:space="preserve">Mission</w:t>
      </w:r>
      <w:r>
        <w:t xml:space="preserve"> (stress test at scale) → </w:t>
      </w:r>
      <w:r>
        <w:rPr>
          <w:b/>
          <w:bCs/>
        </w:rPr>
        <w:t xml:space="preserve">produced</w:t>
      </w:r>
      <w:r>
        <w:t xml:space="preserve"> → </w:t>
      </w:r>
      <w:r>
        <w:rPr>
          <w:b/>
          <w:bCs/>
        </w:rPr>
        <w:t xml:space="preserve">Finding</w:t>
      </w:r>
      <w:r>
        <w:t xml:space="preserve"> (12% packet loss) → </w:t>
      </w:r>
      <w:r>
        <w:rPr>
          <w:b/>
          <w:bCs/>
        </w:rPr>
        <w:t xml:space="preserve">derived</w:t>
      </w:r>
      <w:r>
        <w:t xml:space="preserve"> → </w:t>
      </w:r>
      <w:r>
        <w:rPr>
          <w:b/>
          <w:bCs/>
        </w:rPr>
        <w:t xml:space="preserve">Claim</w:t>
      </w:r>
      <w:r>
        <w:t xml:space="preserve"> (threshold at 400) → </w:t>
      </w:r>
      <w:r>
        <w:rPr>
          <w:b/>
          <w:bCs/>
        </w:rPr>
        <w:t xml:space="preserve">justified</w:t>
      </w:r>
      <w:r>
        <w:t xml:space="preserve"> → </w:t>
      </w:r>
      <w:r>
        <w:rPr>
          <w:b/>
          <w:bCs/>
        </w:rPr>
        <w:t xml:space="preserve">Decision</w:t>
      </w:r>
      <w:r>
        <w:t xml:space="preserve"> (implement sharding)</w:t>
      </w:r>
    </w:p>
    <w:p>
      <w:pPr>
        <w:spacing w:after="80"/>
      </w:pPr>
    </w:p>
    <w:p>
      <w:pPr>
        <w:spacing w:after="120"/>
      </w:pPr>
      <w:r>
        <w:t xml:space="preserve">You can traverse this chain in either direction using rka_trace_provenance(entity_id, direction="upstream") or direction="downstream".</w:t>
      </w:r>
    </w:p>
    <w:p>
      <w:pPr>
        <w:spacing w:after="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single" w:color="0F6E56" w:sz="12"/>
              <w:bottom w:val="none" w:color="FFFFFF" w:sz="0"/>
              <w:right w:val="none" w:color="FFFFFF" w:sz="0"/>
            </w:tcBorders>
            <w:shd w:fill="E8F5F0" w:val="clear"/>
            <w:tcMar>
              <w:top w:type="dxa" w:w="100"/>
              <w:left w:type="dxa" w:w="200"/>
              <w:bottom w:type="dxa" w:w="100"/>
              <w:right w:type="dxa" w:w="200"/>
            </w:tcMar>
          </w:tcPr>
          <w:p>
            <w:pPr>
              <w:spacing w:after="60"/>
            </w:pPr>
            <w:r>
              <w:rPr>
                <w:rFonts w:ascii="Arial" w:cs="Arial" w:eastAsia="Arial" w:hAnsi="Arial"/>
                <w:b/>
                <w:bCs/>
                <w:color w:val="0F6E56"/>
                <w:sz w:val="20"/>
                <w:szCs w:val="20"/>
              </w:rPr>
              <w:t xml:space="preserve">Why Provenance Matters</w:t>
            </w:r>
          </w:p>
          <w:p>
            <w:pPr>
              <w:spacing w:after="0"/>
            </w:pPr>
            <w:r>
              <w:rPr>
                <w:rFonts w:ascii="Arial" w:cs="Arial" w:eastAsia="Arial" w:hAnsi="Arial"/>
                <w:sz w:val="20"/>
                <w:szCs w:val="20"/>
              </w:rPr>
              <w:t xml:space="preserve">Without provenance links, the knowledge graph is disconnected islands — decisions in one column, literature in another, findings in a third. With provenance, you can ask "why did we decide to use sharding?" and get a chain: because the stress test showed 12% packet loss, which was motivated by the decision to test broker limits, which was informed by the MQTT benchmarks paper.</w:t>
            </w:r>
          </w:p>
        </w:tc>
      </w:tr>
    </w:tbl>
    <w:p>
      <w:pPr>
        <w:spacing w:after="80"/>
      </w:pPr>
    </w:p>
    <w:p>
      <w:pPr>
        <w:pStyle w:val="Heading2"/>
      </w:pPr>
      <w:r>
        <w:t xml:space="preserve">9.1 — The Maintenance Manifest</w:t>
      </w:r>
    </w:p>
    <w:p>
      <w:pPr>
        <w:spacing w:after="120"/>
      </w:pPr>
      <w:r>
        <w:t xml:space="preserve">The maintenance manifest (rka_get_pending_maintenance) is a pure-SQL tool that detects provenance gaps:</w:t>
      </w:r>
    </w:p>
    <w:p>
      <w:pPr>
        <w:pStyle w:val="ListParagraph"/>
        <w:numPr>
          <w:ilvl w:val="0"/>
          <w:numId w:val="9"/>
        </w:numPr>
        <w:spacing w:after="60"/>
      </w:pPr>
      <w:r>
        <w:t xml:space="preserve">Decisions without justified_by links — no evidence trail</w:t>
      </w:r>
    </w:p>
    <w:p>
      <w:pPr>
        <w:pStyle w:val="ListParagraph"/>
        <w:numPr>
          <w:ilvl w:val="0"/>
          <w:numId w:val="9"/>
        </w:numPr>
        <w:spacing w:after="60"/>
      </w:pPr>
      <w:r>
        <w:t xml:space="preserve">Missions without motivated_by_decision — no triggering decision</w:t>
      </w:r>
    </w:p>
    <w:p>
      <w:pPr>
        <w:pStyle w:val="ListParagraph"/>
        <w:numPr>
          <w:ilvl w:val="0"/>
          <w:numId w:val="9"/>
        </w:numPr>
        <w:spacing w:after="60"/>
      </w:pPr>
      <w:r>
        <w:t xml:space="preserve">Journal entries without related_decisions — orphaned from the decision tree</w:t>
      </w:r>
    </w:p>
    <w:p>
      <w:pPr>
        <w:pStyle w:val="ListParagraph"/>
        <w:numPr>
          <w:ilvl w:val="0"/>
          <w:numId w:val="9"/>
        </w:numPr>
        <w:spacing w:after="60"/>
      </w:pPr>
      <w:r>
        <w:t xml:space="preserve">Journal entries without tags — not categorized</w:t>
      </w:r>
    </w:p>
    <w:p>
      <w:pPr>
        <w:pStyle w:val="ListParagraph"/>
        <w:numPr>
          <w:ilvl w:val="0"/>
          <w:numId w:val="9"/>
        </w:numPr>
        <w:spacing w:after="60"/>
      </w:pPr>
      <w:r>
        <w:t xml:space="preserve">Entries without claims extracted — not distilled into structured knowledge</w:t>
      </w:r>
    </w:p>
    <w:p>
      <w:pPr>
        <w:pStyle w:val="ListParagraph"/>
        <w:numPr>
          <w:ilvl w:val="0"/>
          <w:numId w:val="9"/>
        </w:numPr>
        <w:spacing w:after="60"/>
      </w:pPr>
      <w:r>
        <w:t xml:space="preserve">Unassigned evidence clusters — not linked to any research question</w:t>
      </w:r>
    </w:p>
    <w:p>
      <w:pPr>
        <w:pStyle w:val="ListParagraph"/>
        <w:numPr>
          <w:ilvl w:val="0"/>
          <w:numId w:val="9"/>
        </w:numPr>
        <w:spacing w:after="60"/>
      </w:pPr>
      <w:r>
        <w:t xml:space="preserve">Pending contradiction flags — claims that may conflict</w:t>
      </w:r>
    </w:p>
    <w:p>
      <w:pPr>
        <w:spacing w:after="120"/>
      </w:pPr>
      <w:r>
        <w:t xml:space="preserve">The Brain processes these items at session start, silently fixing up to 10 gaps per session.</w:t>
      </w:r>
    </w:p>
    <w:p>
      <w:r>
        <w:br w:type="page"/>
      </w:r>
    </w:p>
    <w:p>
      <w:pPr>
        <w:pStyle w:val="Heading1"/>
      </w:pPr>
      <w:r>
        <w:t xml:space="preserve">Chapter 10: The Research Map</w:t>
      </w:r>
    </w:p>
    <w:p>
      <w:pPr>
        <w:spacing w:after="120"/>
      </w:pPr>
      <w:r>
        <w:t xml:space="preserve">The Research Map is a three-level hierarchy for navigating your knowledge:</w:t>
      </w:r>
    </w:p>
    <w:p>
      <w:pPr>
        <w:spacing w:after="80"/>
      </w:pPr>
    </w:p>
    <w:p>
      <w:pPr>
        <w:pStyle w:val="Heading2"/>
      </w:pPr>
      <w:r>
        <w:t xml:space="preserve">Level 1: Research Questions</w:t>
      </w:r>
    </w:p>
    <w:p>
      <w:pPr>
        <w:spacing w:after="120"/>
      </w:pPr>
      <w:r>
        <w:t xml:space="preserve">The big questions driving your project. Each RQ is a decision with kind="research_question". RQs organize everything below them.</w:t>
      </w:r>
    </w:p>
    <w:p>
      <w:pPr>
        <w:spacing w:after="120"/>
      </w:pPr>
      <w:r>
        <w:rPr>
          <w:b/>
          <w:bCs/>
        </w:rPr>
        <w:t xml:space="preserve">Example: </w:t>
      </w:r>
      <w:r>
        <w:t xml:space="preserve">"How should RKA track provenance and decision reasoning chains across the research lifecycle?"</w:t>
      </w:r>
    </w:p>
    <w:p>
      <w:pPr>
        <w:spacing w:after="80"/>
      </w:pPr>
    </w:p>
    <w:p>
      <w:pPr>
        <w:pStyle w:val="Heading2"/>
      </w:pPr>
      <w:r>
        <w:t xml:space="preserve">Level 2: Topic Clusters</w:t>
      </w:r>
    </w:p>
    <w:p>
      <w:pPr>
        <w:spacing w:after="120"/>
      </w:pPr>
      <w:r>
        <w:t xml:space="preserve">Groups of related claims under each research question. Each cluster has a Brain-written synthesis paragraph summarizing what the claims collectively say. Clusters have confidence badges (strong/moderate/emerging/contested) indicating evidence quality.</w:t>
      </w:r>
    </w:p>
    <w:p>
      <w:pPr>
        <w:spacing w:after="120"/>
      </w:pPr>
      <w:r>
        <w:rPr>
          <w:b/>
          <w:bCs/>
        </w:rPr>
        <w:t xml:space="preserve">Example: </w:t>
      </w:r>
      <w:r>
        <w:t xml:space="preserve">"rka_decision_provenance_and_hierarchy" — 4 clusters covering provenance architecture, gap analysis, and W3C PROV mapping.</w:t>
      </w:r>
    </w:p>
    <w:p>
      <w:pPr>
        <w:spacing w:after="80"/>
      </w:pPr>
    </w:p>
    <w:p>
      <w:pPr>
        <w:pStyle w:val="Heading2"/>
      </w:pPr>
      <w:r>
        <w:t xml:space="preserve">Level 3: Claims</w:t>
      </w:r>
    </w:p>
    <w:p>
      <w:pPr>
        <w:spacing w:after="120"/>
      </w:pPr>
      <w:r>
        <w:t xml:space="preserve">The atomic facts extracted from journal entries. Each claim has a type (hypothesis/evidence/method/result/observation/assumption) and links back to its source entry with character offsets.</w:t>
      </w:r>
    </w:p>
    <w:p>
      <w:pPr>
        <w:spacing w:after="120"/>
      </w:pPr>
      <w:r>
        <w:rPr>
          <w:b/>
          <w:bCs/>
        </w:rPr>
        <w:t xml:space="preserve">Example: </w:t>
      </w:r>
      <w:r>
        <w:t xml:space="preserve">"12% packet loss above 400 connections" — an evidence claim extracted from jrn_01KK..., characters 54–139.</w:t>
      </w:r>
    </w:p>
    <w:p>
      <w:pPr>
        <w:spacing w:after="80"/>
      </w:pPr>
    </w:p>
    <w:p>
      <w:pPr>
        <w:pStyle w:val="Heading2"/>
      </w:pPr>
      <w:r>
        <w:t xml:space="preserve">Evidence Gaps</w:t>
      </w:r>
    </w:p>
    <w:p>
      <w:pPr>
        <w:spacing w:after="120"/>
      </w:pPr>
      <w:r>
        <w:t xml:space="preserve">Evidence gaps are areas where a research question has insufficient evidence. A gap means a cluster or RQ has too few claims to fully answer the question. Gaps are not necessarily problems — they signal where more investigation could strengthen the research.</w:t>
      </w:r>
    </w:p>
    <w:p>
      <w:pPr>
        <w:spacing w:after="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single" w:color="0F6E56" w:sz="12"/>
              <w:bottom w:val="none" w:color="FFFFFF" w:sz="0"/>
              <w:right w:val="none" w:color="FFFFFF" w:sz="0"/>
            </w:tcBorders>
            <w:shd w:fill="E8F5F0" w:val="clear"/>
            <w:tcMar>
              <w:top w:type="dxa" w:w="100"/>
              <w:left w:type="dxa" w:w="200"/>
              <w:bottom w:type="dxa" w:w="100"/>
              <w:right w:type="dxa" w:w="200"/>
            </w:tcMar>
          </w:tcPr>
          <w:p>
            <w:pPr>
              <w:spacing w:after="60"/>
            </w:pPr>
            <w:r>
              <w:rPr>
                <w:rFonts w:ascii="Arial" w:cs="Arial" w:eastAsia="Arial" w:hAnsi="Arial"/>
                <w:b/>
                <w:bCs/>
                <w:color w:val="0F6E56"/>
                <w:sz w:val="20"/>
                <w:szCs w:val="20"/>
              </w:rPr>
              <w:t xml:space="preserve">Reading the Research Map</w:t>
            </w:r>
          </w:p>
          <w:p>
            <w:pPr>
              <w:spacing w:after="0"/>
            </w:pPr>
            <w:r>
              <w:rPr>
                <w:rFonts w:ascii="Arial" w:cs="Arial" w:eastAsia="Arial" w:hAnsi="Arial"/>
                <w:sz w:val="20"/>
                <w:szCs w:val="20"/>
              </w:rPr>
              <w:t xml:space="preserve">Start at the top (Research Questions) to see the big picture. Click into an RQ to see its topic clusters. Click into a cluster to see individual claims. Each level provides more detail. If a cluster says "emerging" with 1 claim, that topic is thin. If it says "strong" with 30 claims, that topic is well-covered.</w:t>
            </w:r>
          </w:p>
        </w:tc>
      </w:tr>
    </w:tbl>
    <w:p>
      <w:r>
        <w:br w:type="page"/>
      </w:r>
    </w:p>
    <w:p>
      <w:pPr>
        <w:pStyle w:val="Heading1"/>
      </w:pPr>
      <w:r>
        <w:t xml:space="preserve">Chapter 11: The Knowledge Graph</w:t>
      </w:r>
    </w:p>
    <w:p>
      <w:pPr>
        <w:spacing w:after="120"/>
      </w:pPr>
      <w:r>
        <w:t xml:space="preserve">The Knowledge Graph page shows all entities and their relationships as a visual network. Nodes are colored by type: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Color</w:t>
            </w:r>
          </w:p>
        </w:tc>
        <w:tc>
          <w:tcPr>
            <w:tcW w:type="dxa" w:w="736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Entity Type</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Blue</w:t>
            </w:r>
          </w:p>
        </w:tc>
        <w:tc>
          <w:tcPr>
            <w:tcW w:type="dxa" w:w="7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Decisions</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Green</w:t>
            </w:r>
          </w:p>
        </w:tc>
        <w:tc>
          <w:tcPr>
            <w:tcW w:type="dxa" w:w="7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Journal entries / Findings</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Indigo</w:t>
            </w:r>
          </w:p>
        </w:tc>
        <w:tc>
          <w:tcPr>
            <w:tcW w:type="dxa" w:w="7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Literature</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Pink</w:t>
            </w:r>
          </w:p>
        </w:tc>
        <w:tc>
          <w:tcPr>
            <w:tcW w:type="dxa" w:w="7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Missions</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Amber</w:t>
            </w:r>
          </w:p>
        </w:tc>
        <w:tc>
          <w:tcPr>
            <w:tcW w:type="dxa" w:w="7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Claims</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Purple</w:t>
            </w:r>
          </w:p>
        </w:tc>
        <w:tc>
          <w:tcPr>
            <w:tcW w:type="dxa" w:w="7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Evidence Clusters</w:t>
            </w:r>
          </w:p>
        </w:tc>
      </w:tr>
    </w:tbl>
    <w:p>
      <w:pPr>
        <w:spacing w:after="80"/>
      </w:pPr>
    </w:p>
    <w:p>
      <w:pPr>
        <w:spacing w:after="120"/>
      </w:pPr>
      <w:r>
        <w:t xml:space="preserve">Edges between nodes represent typed links (justified_by, motivated, produced, etc.). The density of cross-type edges indicates how well-connected your knowledge base is. A healthy graph has many edges between different node types. Disconnected columns of same-type nodes indicate missing provenance links.</w:t>
      </w:r>
    </w:p>
    <w:p>
      <w:pPr>
        <w:spacing w:after="120"/>
      </w:pPr>
      <w:r>
        <w:t xml:space="preserve">The Knowledge Graph is a low-level debugging view. For structured navigation, use the Research Map instead.</w:t>
      </w:r>
    </w:p>
    <w:p>
      <w:r>
        <w:br w:type="page"/>
      </w:r>
    </w:p>
    <w:p>
      <w:pPr>
        <w:spacing w:before="200" w:after="300"/>
      </w:pPr>
      <w:r>
        <w:rPr>
          <w:rFonts w:ascii="Arial" w:cs="Arial" w:eastAsia="Arial" w:hAnsi="Arial"/>
          <w:b/>
          <w:bCs/>
          <w:color w:val="0F6E56"/>
          <w:sz w:val="32"/>
          <w:szCs w:val="32"/>
        </w:rPr>
        <w:t xml:space="preserve">Part IV — Workflows</w:t>
      </w:r>
    </w:p>
    <w:p>
      <w:pPr>
        <w:pStyle w:val="Heading1"/>
      </w:pPr>
      <w:r>
        <w:t xml:space="preserve">Chapter 12: Starting a New Research Project</w:t>
      </w:r>
    </w:p>
    <w:p>
      <w:pPr>
        <w:pStyle w:val="Heading2"/>
      </w:pPr>
      <w:r>
        <w:t xml:space="preserve">Step 1: Create the Project</w:t>
      </w:r>
    </w:p>
    <w:p>
      <w:pPr>
        <w:spacing w:after="120"/>
      </w:pPr>
      <w:r>
        <w:t xml:space="preserve">Use the web dashboard or have the Brain call rka_create_project(). Give it a descriptive name and description.</w:t>
      </w:r>
    </w:p>
    <w:p>
      <w:pPr>
        <w:pStyle w:val="Heading2"/>
      </w:pPr>
      <w:r>
        <w:t xml:space="preserve">Step 2: Frame Your Research Questions</w:t>
      </w:r>
    </w:p>
    <w:p>
      <w:pPr>
        <w:spacing w:after="120"/>
      </w:pPr>
      <w:r>
        <w:t xml:space="preserve">The Brain creates research questions as decisions with kind="research_question". These become the top-level nodes in the Research Map and organize everything below.</w:t>
      </w:r>
    </w:p>
    <w:p>
      <w:pPr>
        <w:spacing w:after="120"/>
      </w:pPr>
      <w:r>
        <w:rPr>
          <w:b/>
          <w:bCs/>
        </w:rPr>
        <w:t xml:space="preserve">Example: </w:t>
      </w:r>
      <w:r>
        <w:t xml:space="preserve">rka_add_decision(question="Does protocol-specific feature engineering improve IDS detection?", kind="research_question", phase="exploration", decided_by="brain")</w:t>
      </w:r>
    </w:p>
    <w:p>
      <w:pPr>
        <w:pStyle w:val="Heading2"/>
      </w:pPr>
      <w:r>
        <w:t xml:space="preserve">Step 3: Add Initial Literature</w:t>
      </w:r>
    </w:p>
    <w:p>
      <w:pPr>
        <w:spacing w:after="120"/>
      </w:pPr>
      <w:r>
        <w:t xml:space="preserve">Import papers via BibTeX, DOI, Semantic Scholar, or arXiv search. Always link literature to the research questions it informs.</w:t>
      </w:r>
    </w:p>
    <w:p>
      <w:pPr>
        <w:pStyle w:val="Heading2"/>
      </w:pPr>
      <w:r>
        <w:t xml:space="preserve">Step 4: Record Initial Ideas and Observations</w:t>
      </w:r>
    </w:p>
    <w:p>
      <w:pPr>
        <w:spacing w:after="120"/>
      </w:pPr>
      <w:r>
        <w:t xml:space="preserve">Use rka_add_note for early observations, meeting notes, and hypotheses. Link them to relevant decisions.</w:t>
      </w:r>
    </w:p>
    <w:p>
      <w:pPr>
        <w:pStyle w:val="Heading2"/>
      </w:pPr>
      <w:r>
        <w:t xml:space="preserve">Step 5: Start the Mission Cycle</w:t>
      </w:r>
    </w:p>
    <w:p>
      <w:pPr>
        <w:spacing w:after="120"/>
      </w:pPr>
      <w:r>
        <w:t xml:space="preserve">Once the Brain has enough context, it creates missions for the Executor. Each mission links to the decision that motivated it and includes context references.</w:t>
      </w:r>
    </w:p>
    <w:p>
      <w:r>
        <w:br w:type="page"/>
      </w:r>
    </w:p>
    <w:p>
      <w:pPr>
        <w:pStyle w:val="Heading1"/>
      </w:pPr>
      <w:r>
        <w:t xml:space="preserve">Chapter 13: The Mission Lifecycle</w:t>
      </w:r>
    </w:p>
    <w:p>
      <w:pPr>
        <w:spacing w:after="120"/>
      </w:pPr>
      <w:r>
        <w:t xml:space="preserve">The mission lifecycle is the primary coordination mechanism between Brain and Executor:</w:t>
      </w:r>
    </w:p>
    <w:p>
      <w:pPr>
        <w:spacing w:after="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00"/>
        <w:gridCol w:w="1500"/>
        <w:gridCol w:w="6360"/>
      </w:tblGrid>
      <w:tr>
        <w:tc>
          <w:tcPr>
            <w:tcW w:type="dxa" w:w="150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Phase</w:t>
            </w:r>
          </w:p>
        </w:tc>
        <w:tc>
          <w:tcPr>
            <w:tcW w:type="dxa" w:w="150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Who</w:t>
            </w:r>
          </w:p>
        </w:tc>
        <w:tc>
          <w:tcPr>
            <w:tcW w:type="dxa" w:w="636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What Happens</w:t>
            </w:r>
          </w:p>
        </w:tc>
      </w:tr>
      <w:tr>
        <w:tc>
          <w:tcPr>
            <w:tcW w:type="dxa" w:w="1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Create</w:t>
            </w:r>
          </w:p>
        </w:tc>
        <w:tc>
          <w:tcPr>
            <w:tcW w:type="dxa" w:w="1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Brain</w:t>
            </w:r>
          </w:p>
        </w:tc>
        <w:tc>
          <w:tcPr>
            <w:tcW w:type="dxa" w:w="6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Creates mission with objective, tasks, context, acceptance criteria, motivated_by_decision</w:t>
            </w:r>
          </w:p>
        </w:tc>
      </w:tr>
      <w:tr>
        <w:tc>
          <w:tcPr>
            <w:tcW w:type="dxa" w:w="1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Accept</w:t>
            </w:r>
          </w:p>
        </w:tc>
        <w:tc>
          <w:tcPr>
            <w:tcW w:type="dxa" w:w="1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Executor</w:t>
            </w:r>
          </w:p>
        </w:tc>
        <w:tc>
          <w:tcPr>
            <w:tcW w:type="dxa" w:w="6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Reads mission, loads context links, starts work</w:t>
            </w:r>
          </w:p>
        </w:tc>
      </w:tr>
      <w:tr>
        <w:tc>
          <w:tcPr>
            <w:tcW w:type="dxa" w:w="1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Execute</w:t>
            </w:r>
          </w:p>
        </w:tc>
        <w:tc>
          <w:tcPr>
            <w:tcW w:type="dxa" w:w="1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Executor</w:t>
            </w:r>
          </w:p>
        </w:tc>
        <w:tc>
          <w:tcPr>
            <w:tcW w:type="dxa" w:w="6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Works through tasks, records findings as journal entries with related_mission</w:t>
            </w:r>
          </w:p>
        </w:tc>
      </w:tr>
      <w:tr>
        <w:tc>
          <w:tcPr>
            <w:tcW w:type="dxa" w:w="1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Checkpoint</w:t>
            </w:r>
          </w:p>
        </w:tc>
        <w:tc>
          <w:tcPr>
            <w:tcW w:type="dxa" w:w="1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Executor</w:t>
            </w:r>
          </w:p>
        </w:tc>
        <w:tc>
          <w:tcPr>
            <w:tcW w:type="dxa" w:w="6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Raises a checkpoint if blocked; Brain/PI resolves it</w:t>
            </w:r>
          </w:p>
        </w:tc>
      </w:tr>
      <w:tr>
        <w:tc>
          <w:tcPr>
            <w:tcW w:type="dxa" w:w="1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Report</w:t>
            </w:r>
          </w:p>
        </w:tc>
        <w:tc>
          <w:tcPr>
            <w:tcW w:type="dxa" w:w="1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Executor</w:t>
            </w:r>
          </w:p>
        </w:tc>
        <w:tc>
          <w:tcPr>
            <w:tcW w:type="dxa" w:w="6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Submits structured report with findings, anomalies, recommended next steps</w:t>
            </w:r>
          </w:p>
        </w:tc>
      </w:tr>
      <w:tr>
        <w:tc>
          <w:tcPr>
            <w:tcW w:type="dxa" w:w="1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Review</w:t>
            </w:r>
          </w:p>
        </w:tc>
        <w:tc>
          <w:tcPr>
            <w:tcW w:type="dxa" w:w="1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Brain</w:t>
            </w:r>
          </w:p>
        </w:tc>
        <w:tc>
          <w:tcPr>
            <w:tcW w:type="dxa" w:w="6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Reviews report, updates project state, creates follow-up missions if needed</w:t>
            </w:r>
          </w:p>
        </w:tc>
      </w:tr>
      <w:tr>
        <w:tc>
          <w:tcPr>
            <w:tcW w:type="dxa" w:w="1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Complete</w:t>
            </w:r>
          </w:p>
        </w:tc>
        <w:tc>
          <w:tcPr>
            <w:tcW w:type="dxa" w:w="1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Brain</w:t>
            </w:r>
          </w:p>
        </w:tc>
        <w:tc>
          <w:tcPr>
            <w:tcW w:type="dxa" w:w="6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Marks mission complete or partial</w:t>
            </w:r>
          </w:p>
        </w:tc>
      </w:tr>
    </w:tbl>
    <w:p>
      <w:pPr>
        <w:spacing w:after="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single" w:color="0F6E56" w:sz="12"/>
              <w:bottom w:val="none" w:color="FFFFFF" w:sz="0"/>
              <w:right w:val="none" w:color="FFFFFF" w:sz="0"/>
            </w:tcBorders>
            <w:shd w:fill="E8F5F0" w:val="clear"/>
            <w:tcMar>
              <w:top w:type="dxa" w:w="100"/>
              <w:left w:type="dxa" w:w="200"/>
              <w:bottom w:type="dxa" w:w="100"/>
              <w:right w:type="dxa" w:w="200"/>
            </w:tcMar>
          </w:tcPr>
          <w:p>
            <w:pPr>
              <w:spacing w:after="60"/>
            </w:pPr>
            <w:r>
              <w:rPr>
                <w:rFonts w:ascii="Arial" w:cs="Arial" w:eastAsia="Arial" w:hAnsi="Arial"/>
                <w:b/>
                <w:bCs/>
                <w:color w:val="0F6E56"/>
                <w:sz w:val="20"/>
                <w:szCs w:val="20"/>
              </w:rPr>
              <w:t xml:space="preserve">Context-Rich Missions</w:t>
            </w:r>
          </w:p>
          <w:p>
            <w:pPr>
              <w:spacing w:after="0"/>
            </w:pPr>
            <w:r>
              <w:rPr>
                <w:rFonts w:ascii="Arial" w:cs="Arial" w:eastAsia="Arial" w:hAnsi="Arial"/>
                <w:sz w:val="20"/>
                <w:szCs w:val="20"/>
              </w:rPr>
              <w:t xml:space="preserve">When creating a mission, the Brain should include: motivated_by_decision (which decision?), related journal entries (prior findings), related literature (papers to read), and related decisions (constraints to respect). This way the Executor understands not just WHAT to do but WHY.</w:t>
            </w:r>
          </w:p>
        </w:tc>
      </w:tr>
    </w:tbl>
    <w:p>
      <w:r>
        <w:br w:type="page"/>
      </w:r>
    </w:p>
    <w:p>
      <w:pPr>
        <w:pStyle w:val="Heading1"/>
      </w:pPr>
      <w:r>
        <w:t xml:space="preserve">Chapter 14: Literature Management</w:t>
      </w:r>
    </w:p>
    <w:p>
      <w:pPr>
        <w:pStyle w:val="Heading2"/>
      </w:pPr>
      <w:r>
        <w:t xml:space="preserve">14.1 — Adding Papers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3580"/>
        <w:gridCol w:w="3580"/>
      </w:tblGrid>
      <w:tr>
        <w:tc>
          <w:tcPr>
            <w:tcW w:type="dxa" w:w="220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Method</w:t>
            </w:r>
          </w:p>
        </w:tc>
        <w:tc>
          <w:tcPr>
            <w:tcW w:type="dxa" w:w="358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Tool</w:t>
            </w:r>
          </w:p>
        </w:tc>
        <w:tc>
          <w:tcPr>
            <w:tcW w:type="dxa" w:w="358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Best For</w:t>
            </w:r>
          </w:p>
        </w:tc>
      </w:tr>
      <w:tr>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Manual</w:t>
            </w:r>
          </w:p>
        </w:tc>
        <w:tc>
          <w:tcPr>
            <w:tcW w:type="dxa" w:w="358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rka_add_literature(title, authors, year, ...)</w:t>
            </w:r>
          </w:p>
        </w:tc>
        <w:tc>
          <w:tcPr>
            <w:tcW w:type="dxa" w:w="358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Adding a known paper with metadata</w:t>
            </w:r>
          </w:p>
        </w:tc>
      </w:tr>
      <w:tr>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DOI Lookup</w:t>
            </w:r>
          </w:p>
        </w:tc>
        <w:tc>
          <w:tcPr>
            <w:tcW w:type="dxa" w:w="358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rka_enrich_doi(lit_id)</w:t>
            </w:r>
          </w:p>
        </w:tc>
        <w:tc>
          <w:tcPr>
            <w:tcW w:type="dxa" w:w="358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Filling in missing metadata from CrossRef</w:t>
            </w:r>
          </w:p>
        </w:tc>
      </w:tr>
      <w:tr>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BibTeX Import</w:t>
            </w:r>
          </w:p>
        </w:tc>
        <w:tc>
          <w:tcPr>
            <w:tcW w:type="dxa" w:w="358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rka_import_bibtex(content)</w:t>
            </w:r>
          </w:p>
        </w:tc>
        <w:tc>
          <w:tcPr>
            <w:tcW w:type="dxa" w:w="358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Bulk import from a .bib file</w:t>
            </w:r>
          </w:p>
        </w:tc>
      </w:tr>
      <w:tr>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Semantic Scholar</w:t>
            </w:r>
          </w:p>
        </w:tc>
        <w:tc>
          <w:tcPr>
            <w:tcW w:type="dxa" w:w="358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rka_search_semantic_scholar(query, add_to_library=true)</w:t>
            </w:r>
          </w:p>
        </w:tc>
        <w:tc>
          <w:tcPr>
            <w:tcW w:type="dxa" w:w="358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Searching for relevant papers</w:t>
            </w:r>
          </w:p>
        </w:tc>
      </w:tr>
      <w:tr>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arXiv Search</w:t>
            </w:r>
          </w:p>
        </w:tc>
        <w:tc>
          <w:tcPr>
            <w:tcW w:type="dxa" w:w="358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rka_search_arxiv(query, add_to_library=true)</w:t>
            </w:r>
          </w:p>
        </w:tc>
        <w:tc>
          <w:tcPr>
            <w:tcW w:type="dxa" w:w="358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Finding preprints</w:t>
            </w:r>
          </w:p>
        </w:tc>
      </w:tr>
    </w:tbl>
    <w:p>
      <w:pPr>
        <w:spacing w:after="80"/>
      </w:pPr>
    </w:p>
    <w:p>
      <w:pPr>
        <w:pStyle w:val="Heading2"/>
      </w:pPr>
      <w:r>
        <w:t xml:space="preserve">14.2 — Reading Pipeline</w:t>
      </w:r>
    </w:p>
    <w:p>
      <w:pPr>
        <w:spacing w:after="120"/>
      </w:pPr>
      <w:r>
        <w:t xml:space="preserve">Track your reading progress through the pipeline: to_read → reading → read → cited → excluded. Use the Literature page in the dashboard to see papers at each stage.</w:t>
      </w:r>
    </w:p>
    <w:p>
      <w:r>
        <w:br w:type="page"/>
      </w:r>
    </w:p>
    <w:p>
      <w:pPr>
        <w:pStyle w:val="Heading1"/>
      </w:pPr>
      <w:r>
        <w:t xml:space="preserve">Chapter 15: Brain Maintenance &amp; Enrichment</w:t>
      </w:r>
    </w:p>
    <w:p>
      <w:pPr>
        <w:spacing w:after="120"/>
      </w:pPr>
      <w:r>
        <w:t xml:space="preserve">With the local LLM removed, the Brain is the sole intelligence layer. Maintenance happens at session start:</w:t>
      </w:r>
    </w:p>
    <w:p>
      <w:pPr>
        <w:spacing w:after="80"/>
      </w:pPr>
    </w:p>
    <w:p>
      <w:pPr>
        <w:pStyle w:val="Heading2"/>
      </w:pPr>
      <w:r>
        <w:t xml:space="preserve">15.1 — What the Maintenance Manifest Detects</w:t>
      </w:r>
    </w:p>
    <w:p>
      <w:pPr>
        <w:pStyle w:val="ListParagraph"/>
        <w:numPr>
          <w:ilvl w:val="0"/>
          <w:numId w:val="10"/>
        </w:numPr>
        <w:spacing w:after="60"/>
      </w:pPr>
      <w:r>
        <w:rPr>
          <w:b/>
          <w:bCs/>
        </w:rPr>
        <w:t xml:space="preserve">Entries without tags</w:t>
      </w:r>
      <w:r>
        <w:t xml:space="preserve"> — Brain reads the entry and adds appropriate tags</w:t>
      </w:r>
    </w:p>
    <w:p>
      <w:pPr>
        <w:pStyle w:val="ListParagraph"/>
        <w:numPr>
          <w:ilvl w:val="0"/>
          <w:numId w:val="10"/>
        </w:numPr>
        <w:spacing w:after="60"/>
      </w:pPr>
      <w:r>
        <w:rPr>
          <w:b/>
          <w:bCs/>
        </w:rPr>
        <w:t xml:space="preserve">Entries without claims</w:t>
      </w:r>
      <w:r>
        <w:t xml:space="preserve"> — Brain reads the entry and extracts claims</w:t>
      </w:r>
    </w:p>
    <w:p>
      <w:pPr>
        <w:pStyle w:val="ListParagraph"/>
        <w:numPr>
          <w:ilvl w:val="0"/>
          <w:numId w:val="10"/>
        </w:numPr>
        <w:spacing w:after="60"/>
      </w:pPr>
      <w:r>
        <w:rPr>
          <w:b/>
          <w:bCs/>
        </w:rPr>
        <w:t xml:space="preserve">Decisions without justified_by</w:t>
      </w:r>
      <w:r>
        <w:t xml:space="preserve"> — Brain identifies which evidence justified the decision and adds links</w:t>
      </w:r>
    </w:p>
    <w:p>
      <w:pPr>
        <w:pStyle w:val="ListParagraph"/>
        <w:numPr>
          <w:ilvl w:val="0"/>
          <w:numId w:val="10"/>
        </w:numPr>
        <w:spacing w:after="60"/>
      </w:pPr>
      <w:r>
        <w:rPr>
          <w:b/>
          <w:bCs/>
        </w:rPr>
        <w:t xml:space="preserve">Missions without motivated_by</w:t>
      </w:r>
      <w:r>
        <w:t xml:space="preserve"> — Brain identifies which decision triggered the mission</w:t>
      </w:r>
    </w:p>
    <w:p>
      <w:pPr>
        <w:pStyle w:val="ListParagraph"/>
        <w:numPr>
          <w:ilvl w:val="0"/>
          <w:numId w:val="10"/>
        </w:numPr>
        <w:spacing w:after="60"/>
      </w:pPr>
      <w:r>
        <w:rPr>
          <w:b/>
          <w:bCs/>
        </w:rPr>
        <w:t xml:space="preserve">Entries without cross-references</w:t>
      </w:r>
      <w:r>
        <w:t xml:space="preserve"> — Brain links orphaned entries to relevant decisions</w:t>
      </w:r>
    </w:p>
    <w:p>
      <w:pPr>
        <w:pStyle w:val="ListParagraph"/>
        <w:numPr>
          <w:ilvl w:val="0"/>
          <w:numId w:val="10"/>
        </w:numPr>
        <w:spacing w:after="60"/>
      </w:pPr>
      <w:r>
        <w:rPr>
          <w:b/>
          <w:bCs/>
        </w:rPr>
        <w:t xml:space="preserve">Unassigned clusters</w:t>
      </w:r>
      <w:r>
        <w:t xml:space="preserve"> — Brain assigns clusters to research questions</w:t>
      </w:r>
    </w:p>
    <w:p>
      <w:pPr>
        <w:pStyle w:val="ListParagraph"/>
        <w:numPr>
          <w:ilvl w:val="0"/>
          <w:numId w:val="10"/>
        </w:numPr>
        <w:spacing w:after="60"/>
      </w:pPr>
      <w:r>
        <w:rPr>
          <w:b/>
          <w:bCs/>
        </w:rPr>
        <w:t xml:space="preserve">Pending contradictions</w:t>
      </w:r>
      <w:r>
        <w:t xml:space="preserve"> — Brain evaluates whether claims truly conflict and resolves</w:t>
      </w:r>
    </w:p>
    <w:p>
      <w:pPr>
        <w:spacing w:after="80"/>
      </w:pPr>
    </w:p>
    <w:p>
      <w:pPr>
        <w:pStyle w:val="Heading2"/>
      </w:pPr>
      <w:r>
        <w:t xml:space="preserve">15.2 — How Maintenance Works</w:t>
      </w:r>
    </w:p>
    <w:p>
      <w:pPr>
        <w:spacing w:after="120"/>
      </w:pPr>
      <w:r>
        <w:t xml:space="preserve">The Brain processes up to 10 maintenance items per session, prioritized by importance: decisions without provenance &gt; missions without context &gt; unassigned clusters &gt; missing cross-references. The Brain handles this silently — the user sees their knowledge base improving without taking any action.</w:t>
      </w:r>
    </w:p>
    <w:p>
      <w:pPr>
        <w:spacing w:after="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single" w:color="0F6E56" w:sz="12"/>
              <w:bottom w:val="none" w:color="FFFFFF" w:sz="0"/>
              <w:right w:val="none" w:color="FFFFFF" w:sz="0"/>
            </w:tcBorders>
            <w:shd w:fill="E8F5F0" w:val="clear"/>
            <w:tcMar>
              <w:top w:type="dxa" w:w="100"/>
              <w:left w:type="dxa" w:w="200"/>
              <w:bottom w:type="dxa" w:w="100"/>
              <w:right w:type="dxa" w:w="200"/>
            </w:tcMar>
          </w:tcPr>
          <w:p>
            <w:pPr>
              <w:spacing w:after="60"/>
            </w:pPr>
            <w:r>
              <w:rPr>
                <w:rFonts w:ascii="Arial" w:cs="Arial" w:eastAsia="Arial" w:hAnsi="Arial"/>
                <w:b/>
                <w:bCs/>
                <w:color w:val="0F6E56"/>
                <w:sz w:val="20"/>
                <w:szCs w:val="20"/>
              </w:rPr>
              <w:t xml:space="preserve">You Don’t Need to Ask</w:t>
            </w:r>
          </w:p>
          <w:p>
            <w:pPr>
              <w:spacing w:after="0"/>
            </w:pPr>
            <w:r>
              <w:rPr>
                <w:rFonts w:ascii="Arial" w:cs="Arial" w:eastAsia="Arial" w:hAnsi="Arial"/>
                <w:sz w:val="20"/>
                <w:szCs w:val="20"/>
              </w:rPr>
              <w:t xml:space="preserve">The Brain follows its session protocol automatically. You don’t need to say "go maintain the knowledge base." Just start a conversation, and the Brain will tidy up before responding.</w:t>
            </w:r>
          </w:p>
        </w:tc>
      </w:tr>
    </w:tbl>
    <w:p>
      <w:r>
        <w:br w:type="page"/>
      </w:r>
    </w:p>
    <w:p>
      <w:pPr>
        <w:spacing w:before="200" w:after="300"/>
      </w:pPr>
      <w:r>
        <w:rPr>
          <w:rFonts w:ascii="Arial" w:cs="Arial" w:eastAsia="Arial" w:hAnsi="Arial"/>
          <w:b/>
          <w:bCs/>
          <w:color w:val="0F6E56"/>
          <w:sz w:val="32"/>
          <w:szCs w:val="32"/>
        </w:rPr>
        <w:t xml:space="preserve">Part V — Reference</w:t>
      </w:r>
    </w:p>
    <w:p>
      <w:pPr>
        <w:pStyle w:val="Heading1"/>
      </w:pPr>
      <w:r>
        <w:t xml:space="preserve">Chapter 16: MCP Tools Quick Reference</w:t>
      </w:r>
    </w:p>
    <w:p>
      <w:pPr>
        <w:pStyle w:val="Heading2"/>
      </w:pPr>
      <w:r>
        <w:t xml:space="preserve">Knowledge Management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500"/>
        <w:gridCol w:w="5860"/>
      </w:tblGrid>
      <w:tr>
        <w:tc>
          <w:tcPr>
            <w:tcW w:type="dxa" w:w="350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Tool</w:t>
            </w:r>
          </w:p>
        </w:tc>
        <w:tc>
          <w:tcPr>
            <w:tcW w:type="dxa" w:w="586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Purpose</w:t>
            </w:r>
          </w:p>
        </w:tc>
      </w:tr>
      <w:tr>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rka_add_note</w:t>
            </w:r>
          </w:p>
        </w:tc>
        <w:tc>
          <w:tcPr>
            <w:tcW w:type="dxa" w:w="58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Add a journal entry (note/log/directive)</w:t>
            </w:r>
          </w:p>
        </w:tc>
      </w:tr>
      <w:tr>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rka_update_note</w:t>
            </w:r>
          </w:p>
        </w:tc>
        <w:tc>
          <w:tcPr>
            <w:tcW w:type="dxa" w:w="58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Update an existing entry</w:t>
            </w:r>
          </w:p>
        </w:tc>
      </w:tr>
      <w:tr>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rka_add_decision</w:t>
            </w:r>
          </w:p>
        </w:tc>
        <w:tc>
          <w:tcPr>
            <w:tcW w:type="dxa" w:w="58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Add a decision to the tree</w:t>
            </w:r>
          </w:p>
        </w:tc>
      </w:tr>
      <w:tr>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rka_update_decision</w:t>
            </w:r>
          </w:p>
        </w:tc>
        <w:tc>
          <w:tcPr>
            <w:tcW w:type="dxa" w:w="58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Update a decision (status, rationale, links)</w:t>
            </w:r>
          </w:p>
        </w:tc>
      </w:tr>
      <w:tr>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rka_add_literature</w:t>
            </w:r>
          </w:p>
        </w:tc>
        <w:tc>
          <w:tcPr>
            <w:tcW w:type="dxa" w:w="58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Add a paper/article</w:t>
            </w:r>
          </w:p>
        </w:tc>
      </w:tr>
      <w:tr>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rka_update_literature</w:t>
            </w:r>
          </w:p>
        </w:tc>
        <w:tc>
          <w:tcPr>
            <w:tcW w:type="dxa" w:w="58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Update literature metadata</w:t>
            </w:r>
          </w:p>
        </w:tc>
      </w:tr>
      <w:tr>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rka_bulk_update</w:t>
            </w:r>
          </w:p>
        </w:tc>
        <w:tc>
          <w:tcPr>
            <w:tcW w:type="dxa" w:w="58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Batch update multiple entities</w:t>
            </w:r>
          </w:p>
        </w:tc>
      </w:tr>
    </w:tbl>
    <w:p>
      <w:pPr>
        <w:spacing w:after="80"/>
      </w:pPr>
    </w:p>
    <w:p>
      <w:pPr>
        <w:pStyle w:val="Heading2"/>
      </w:pPr>
      <w:r>
        <w:t xml:space="preserve">Mission Lifecycle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500"/>
        <w:gridCol w:w="5860"/>
      </w:tblGrid>
      <w:tr>
        <w:tc>
          <w:tcPr>
            <w:tcW w:type="dxa" w:w="350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Tool</w:t>
            </w:r>
          </w:p>
        </w:tc>
        <w:tc>
          <w:tcPr>
            <w:tcW w:type="dxa" w:w="586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Purpose</w:t>
            </w:r>
          </w:p>
        </w:tc>
      </w:tr>
      <w:tr>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rka_create_mission</w:t>
            </w:r>
          </w:p>
        </w:tc>
        <w:tc>
          <w:tcPr>
            <w:tcW w:type="dxa" w:w="58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Create a mission for the Executor</w:t>
            </w:r>
          </w:p>
        </w:tc>
      </w:tr>
      <w:tr>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rka_get_mission</w:t>
            </w:r>
          </w:p>
        </w:tc>
        <w:tc>
          <w:tcPr>
            <w:tcW w:type="dxa" w:w="58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Get current or specific mission</w:t>
            </w:r>
          </w:p>
        </w:tc>
      </w:tr>
      <w:tr>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rka_update_mission_status</w:t>
            </w:r>
          </w:p>
        </w:tc>
        <w:tc>
          <w:tcPr>
            <w:tcW w:type="dxa" w:w="58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Update mission status and tasks</w:t>
            </w:r>
          </w:p>
        </w:tc>
      </w:tr>
      <w:tr>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rka_submit_report</w:t>
            </w:r>
          </w:p>
        </w:tc>
        <w:tc>
          <w:tcPr>
            <w:tcW w:type="dxa" w:w="58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Submit execution report</w:t>
            </w:r>
          </w:p>
        </w:tc>
      </w:tr>
      <w:tr>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rka_submit_checkpoint</w:t>
            </w:r>
          </w:p>
        </w:tc>
        <w:tc>
          <w:tcPr>
            <w:tcW w:type="dxa" w:w="58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Escalate a decision/question</w:t>
            </w:r>
          </w:p>
        </w:tc>
      </w:tr>
      <w:tr>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rka_resolve_checkpoint</w:t>
            </w:r>
          </w:p>
        </w:tc>
        <w:tc>
          <w:tcPr>
            <w:tcW w:type="dxa" w:w="58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Resolve a checkpoint</w:t>
            </w:r>
          </w:p>
        </w:tc>
      </w:tr>
    </w:tbl>
    <w:p>
      <w:pPr>
        <w:spacing w:after="80"/>
      </w:pPr>
    </w:p>
    <w:p>
      <w:pPr>
        <w:pStyle w:val="Heading2"/>
      </w:pPr>
      <w:r>
        <w:t xml:space="preserve">Search &amp; Context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500"/>
        <w:gridCol w:w="5860"/>
      </w:tblGrid>
      <w:tr>
        <w:tc>
          <w:tcPr>
            <w:tcW w:type="dxa" w:w="350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Tool</w:t>
            </w:r>
          </w:p>
        </w:tc>
        <w:tc>
          <w:tcPr>
            <w:tcW w:type="dxa" w:w="586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Purpose</w:t>
            </w:r>
          </w:p>
        </w:tc>
      </w:tr>
      <w:tr>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rka_search</w:t>
            </w:r>
          </w:p>
        </w:tc>
        <w:tc>
          <w:tcPr>
            <w:tcW w:type="dxa" w:w="58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Hybrid search across all entities</w:t>
            </w:r>
          </w:p>
        </w:tc>
      </w:tr>
      <w:tr>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rka_get</w:t>
            </w:r>
          </w:p>
        </w:tc>
        <w:tc>
          <w:tcPr>
            <w:tcW w:type="dxa" w:w="58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Get full content of any entity by ID</w:t>
            </w:r>
          </w:p>
        </w:tc>
      </w:tr>
      <w:tr>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rka_get_context</w:t>
            </w:r>
          </w:p>
        </w:tc>
        <w:tc>
          <w:tcPr>
            <w:tcW w:type="dxa" w:w="58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Generate a focused context package</w:t>
            </w:r>
          </w:p>
        </w:tc>
      </w:tr>
      <w:tr>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rka_ask</w:t>
            </w:r>
          </w:p>
        </w:tc>
        <w:tc>
          <w:tcPr>
            <w:tcW w:type="dxa" w:w="58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Ask a question grounded in the knowledge base</w:t>
            </w:r>
          </w:p>
        </w:tc>
      </w:tr>
      <w:tr>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rka_get_pending_maintenance</w:t>
            </w:r>
          </w:p>
        </w:tc>
        <w:tc>
          <w:tcPr>
            <w:tcW w:type="dxa" w:w="58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Detect provenance gaps and maintenance items</w:t>
            </w:r>
          </w:p>
        </w:tc>
      </w:tr>
    </w:tbl>
    <w:p>
      <w:pPr>
        <w:spacing w:after="80"/>
      </w:pPr>
    </w:p>
    <w:p>
      <w:pPr>
        <w:pStyle w:val="Heading2"/>
      </w:pPr>
      <w:r>
        <w:t xml:space="preserve">Research Map &amp; Review</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500"/>
        <w:gridCol w:w="5860"/>
      </w:tblGrid>
      <w:tr>
        <w:tc>
          <w:tcPr>
            <w:tcW w:type="dxa" w:w="350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Tool</w:t>
            </w:r>
          </w:p>
        </w:tc>
        <w:tc>
          <w:tcPr>
            <w:tcW w:type="dxa" w:w="586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Purpose</w:t>
            </w:r>
          </w:p>
        </w:tc>
      </w:tr>
      <w:tr>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rka_get_research_map</w:t>
            </w:r>
          </w:p>
        </w:tc>
        <w:tc>
          <w:tcPr>
            <w:tcW w:type="dxa" w:w="58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Three-level view: RQs → clusters → claims</w:t>
            </w:r>
          </w:p>
        </w:tc>
      </w:tr>
      <w:tr>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rka_get_claims</w:t>
            </w:r>
          </w:p>
        </w:tc>
        <w:tc>
          <w:tcPr>
            <w:tcW w:type="dxa" w:w="58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Query extracted claims with filters</w:t>
            </w:r>
          </w:p>
        </w:tc>
      </w:tr>
      <w:tr>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rka_review_cluster</w:t>
            </w:r>
          </w:p>
        </w:tc>
        <w:tc>
          <w:tcPr>
            <w:tcW w:type="dxa" w:w="58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Brain reviews and synthesizes a cluster</w:t>
            </w:r>
          </w:p>
        </w:tc>
      </w:tr>
      <w:tr>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rka_resolve_contradiction</w:t>
            </w:r>
          </w:p>
        </w:tc>
        <w:tc>
          <w:tcPr>
            <w:tcW w:type="dxa" w:w="58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Brain resolves conflicting claims</w:t>
            </w:r>
          </w:p>
        </w:tc>
      </w:tr>
      <w:tr>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rka_trace_provenance</w:t>
            </w:r>
          </w:p>
        </w:tc>
        <w:tc>
          <w:tcPr>
            <w:tcW w:type="dxa" w:w="58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Trace the reasoning chain behind any entity</w:t>
            </w:r>
          </w:p>
        </w:tc>
      </w:tr>
      <w:tr>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rka_get_decision_tree</w:t>
            </w:r>
          </w:p>
        </w:tc>
        <w:tc>
          <w:tcPr>
            <w:tcW w:type="dxa" w:w="58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Get the full decision tree</w:t>
            </w:r>
          </w:p>
        </w:tc>
      </w:tr>
      <w:tr>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rka_graph_stats</w:t>
            </w:r>
          </w:p>
        </w:tc>
        <w:tc>
          <w:tcPr>
            <w:tcW w:type="dxa" w:w="58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Knowledge graph statistics</w:t>
            </w:r>
          </w:p>
        </w:tc>
      </w:tr>
    </w:tbl>
    <w:p>
      <w:pPr>
        <w:spacing w:after="80"/>
      </w:pPr>
    </w:p>
    <w:p>
      <w:pPr>
        <w:pStyle w:val="Heading2"/>
      </w:pPr>
      <w:r>
        <w:t xml:space="preserve">Project &amp; Session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500"/>
        <w:gridCol w:w="5860"/>
      </w:tblGrid>
      <w:tr>
        <w:tc>
          <w:tcPr>
            <w:tcW w:type="dxa" w:w="350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Tool</w:t>
            </w:r>
          </w:p>
        </w:tc>
        <w:tc>
          <w:tcPr>
            <w:tcW w:type="dxa" w:w="586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Purpose</w:t>
            </w:r>
          </w:p>
        </w:tc>
      </w:tr>
      <w:tr>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rka_list_projects</w:t>
            </w:r>
          </w:p>
        </w:tc>
        <w:tc>
          <w:tcPr>
            <w:tcW w:type="dxa" w:w="58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List all projects</w:t>
            </w:r>
          </w:p>
        </w:tc>
      </w:tr>
      <w:tr>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rka_set_project</w:t>
            </w:r>
          </w:p>
        </w:tc>
        <w:tc>
          <w:tcPr>
            <w:tcW w:type="dxa" w:w="58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Switch active project</w:t>
            </w:r>
          </w:p>
        </w:tc>
      </w:tr>
      <w:tr>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rka_create_project</w:t>
            </w:r>
          </w:p>
        </w:tc>
        <w:tc>
          <w:tcPr>
            <w:tcW w:type="dxa" w:w="58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Create a new project</w:t>
            </w:r>
          </w:p>
        </w:tc>
      </w:tr>
      <w:tr>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rka_get_status</w:t>
            </w:r>
          </w:p>
        </w:tc>
        <w:tc>
          <w:tcPr>
            <w:tcW w:type="dxa" w:w="58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Get project state</w:t>
            </w:r>
          </w:p>
        </w:tc>
      </w:tr>
      <w:tr>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rka_update_status</w:t>
            </w:r>
          </w:p>
        </w:tc>
        <w:tc>
          <w:tcPr>
            <w:tcW w:type="dxa" w:w="58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Update project state</w:t>
            </w:r>
          </w:p>
        </w:tc>
      </w:tr>
      <w:tr>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rka_session_digest</w:t>
            </w:r>
          </w:p>
        </w:tc>
        <w:tc>
          <w:tcPr>
            <w:tcW w:type="dxa" w:w="58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Compact session summary</w:t>
            </w:r>
          </w:p>
        </w:tc>
      </w:tr>
    </w:tbl>
    <w:p>
      <w:r>
        <w:br w:type="page"/>
      </w:r>
    </w:p>
    <w:p>
      <w:pPr>
        <w:pStyle w:val="Heading1"/>
      </w:pPr>
      <w:r>
        <w:t xml:space="preserve">Chapter 17: Web Dashboard Guide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1700"/>
        <w:gridCol w:w="5660"/>
      </w:tblGrid>
      <w:tr>
        <w:tc>
          <w:tcPr>
            <w:tcW w:type="dxa" w:w="200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Page</w:t>
            </w:r>
          </w:p>
        </w:tc>
        <w:tc>
          <w:tcPr>
            <w:tcW w:type="dxa" w:w="170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Path</w:t>
            </w:r>
          </w:p>
        </w:tc>
        <w:tc>
          <w:tcPr>
            <w:tcW w:type="dxa" w:w="566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What You See</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Dashboard</w:t>
            </w:r>
          </w:p>
        </w:tc>
        <w:tc>
          <w:tcPr>
            <w:tcW w:type="dxa" w:w="17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w:t>
            </w:r>
          </w:p>
        </w:tc>
        <w:tc>
          <w:tcPr>
            <w:tcW w:type="dxa" w:w="56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Project overview, active missions, open checkpoints, recent entries, project management</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Journal</w:t>
            </w:r>
          </w:p>
        </w:tc>
        <w:tc>
          <w:tcPr>
            <w:tcW w:type="dxa" w:w="17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/journal</w:t>
            </w:r>
          </w:p>
        </w:tc>
        <w:tc>
          <w:tcPr>
            <w:tcW w:type="dxa" w:w="56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Timeline of entries grouped by date, type/confidence filters</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Decisions</w:t>
            </w:r>
          </w:p>
        </w:tc>
        <w:tc>
          <w:tcPr>
            <w:tcW w:type="dxa" w:w="17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/decisions</w:t>
            </w:r>
          </w:p>
        </w:tc>
        <w:tc>
          <w:tcPr>
            <w:tcW w:type="dxa" w:w="56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Interactive decision tree with side panel details</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Literature</w:t>
            </w:r>
          </w:p>
        </w:tc>
        <w:tc>
          <w:tcPr>
            <w:tcW w:type="dxa" w:w="17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/literature</w:t>
            </w:r>
          </w:p>
        </w:tc>
        <w:tc>
          <w:tcPr>
            <w:tcW w:type="dxa" w:w="56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Reading pipeline with status tabs</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Missions</w:t>
            </w:r>
          </w:p>
        </w:tc>
        <w:tc>
          <w:tcPr>
            <w:tcW w:type="dxa" w:w="17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/missions</w:t>
            </w:r>
          </w:p>
        </w:tc>
        <w:tc>
          <w:tcPr>
            <w:tcW w:type="dxa" w:w="56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Active missions with task checklists and reports</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Timeline</w:t>
            </w:r>
          </w:p>
        </w:tc>
        <w:tc>
          <w:tcPr>
            <w:tcW w:type="dxa" w:w="17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/timeline</w:t>
            </w:r>
          </w:p>
        </w:tc>
        <w:tc>
          <w:tcPr>
            <w:tcW w:type="dxa" w:w="56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Event stream with causal chain visualization</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Knowledge Graph</w:t>
            </w:r>
          </w:p>
        </w:tc>
        <w:tc>
          <w:tcPr>
            <w:tcW w:type="dxa" w:w="17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/graph</w:t>
            </w:r>
          </w:p>
        </w:tc>
        <w:tc>
          <w:tcPr>
            <w:tcW w:type="dxa" w:w="56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Entity relationship network (debugging view)</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Research Map</w:t>
            </w:r>
          </w:p>
        </w:tc>
        <w:tc>
          <w:tcPr>
            <w:tcW w:type="dxa" w:w="17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/research-map</w:t>
            </w:r>
          </w:p>
        </w:tc>
        <w:tc>
          <w:tcPr>
            <w:tcW w:type="dxa" w:w="56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Three-level drill-down: RQs → clusters → claims</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Notebook</w:t>
            </w:r>
          </w:p>
        </w:tc>
        <w:tc>
          <w:tcPr>
            <w:tcW w:type="dxa" w:w="17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/notebook</w:t>
            </w:r>
          </w:p>
        </w:tc>
        <w:tc>
          <w:tcPr>
            <w:tcW w:type="dxa" w:w="56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Q&amp;A chat and summary generation</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Audit Log</w:t>
            </w:r>
          </w:p>
        </w:tc>
        <w:tc>
          <w:tcPr>
            <w:tcW w:type="dxa" w:w="17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/audit</w:t>
            </w:r>
          </w:p>
        </w:tc>
        <w:tc>
          <w:tcPr>
            <w:tcW w:type="dxa" w:w="56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System audit trail with action/entity/actor filters</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Context Inspector</w:t>
            </w:r>
          </w:p>
        </w:tc>
        <w:tc>
          <w:tcPr>
            <w:tcW w:type="dxa" w:w="17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/context</w:t>
            </w:r>
          </w:p>
        </w:tc>
        <w:tc>
          <w:tcPr>
            <w:tcW w:type="dxa" w:w="56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Generate and inspect context packages</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Settings</w:t>
            </w:r>
          </w:p>
        </w:tc>
        <w:tc>
          <w:tcPr>
            <w:tcW w:type="dxa" w:w="17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/settings</w:t>
            </w:r>
          </w:p>
        </w:tc>
        <w:tc>
          <w:tcPr>
            <w:tcW w:type="dxa" w:w="56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API health, DB stats, LLM config, project settings</w:t>
            </w:r>
          </w:p>
        </w:tc>
      </w:tr>
    </w:tbl>
    <w:p>
      <w:r>
        <w:br w:type="page"/>
      </w:r>
    </w:p>
    <w:p>
      <w:pPr>
        <w:pStyle w:val="Heading1"/>
      </w:pPr>
      <w:r>
        <w:t xml:space="preserve">Chapter 18: Configuration</w:t>
      </w:r>
    </w:p>
    <w:p>
      <w:pPr>
        <w:pStyle w:val="Heading2"/>
      </w:pPr>
      <w:r>
        <w:t xml:space="preserve">18.1 — Core Settings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2000"/>
        <w:gridCol w:w="4360"/>
      </w:tblGrid>
      <w:tr>
        <w:tc>
          <w:tcPr>
            <w:tcW w:type="dxa" w:w="300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Variable</w:t>
            </w:r>
          </w:p>
        </w:tc>
        <w:tc>
          <w:tcPr>
            <w:tcW w:type="dxa" w:w="200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Default</w:t>
            </w:r>
          </w:p>
        </w:tc>
        <w:tc>
          <w:tcPr>
            <w:tcW w:type="dxa" w:w="436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Description</w:t>
            </w:r>
          </w:p>
        </w:tc>
      </w:tr>
      <w:tr>
        <w:tc>
          <w:tcPr>
            <w:tcW w:type="dxa" w:w="3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RKA_DB_PATH</w:t>
            </w:r>
          </w:p>
        </w:tc>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rka.db</w:t>
            </w:r>
          </w:p>
        </w:tc>
        <w:tc>
          <w:tcPr>
            <w:tcW w:type="dxa" w:w="4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SQLite database file path</w:t>
            </w:r>
          </w:p>
        </w:tc>
      </w:tr>
      <w:tr>
        <w:tc>
          <w:tcPr>
            <w:tcW w:type="dxa" w:w="3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RKA_HOST</w:t>
            </w:r>
          </w:p>
        </w:tc>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127.0.0.1</w:t>
            </w:r>
          </w:p>
        </w:tc>
        <w:tc>
          <w:tcPr>
            <w:tcW w:type="dxa" w:w="4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API server bind address</w:t>
            </w:r>
          </w:p>
        </w:tc>
      </w:tr>
      <w:tr>
        <w:tc>
          <w:tcPr>
            <w:tcW w:type="dxa" w:w="3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RKA_PORT</w:t>
            </w:r>
          </w:p>
        </w:tc>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9712</w:t>
            </w:r>
          </w:p>
        </w:tc>
        <w:tc>
          <w:tcPr>
            <w:tcW w:type="dxa" w:w="4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API server port</w:t>
            </w:r>
          </w:p>
        </w:tc>
      </w:tr>
    </w:tbl>
    <w:p>
      <w:pPr>
        <w:spacing w:after="80"/>
      </w:pPr>
    </w:p>
    <w:p>
      <w:pPr>
        <w:pStyle w:val="Heading2"/>
      </w:pPr>
      <w:r>
        <w:t xml:space="preserve">18.2 — Embedding Settings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500"/>
        <w:gridCol w:w="3000"/>
        <w:gridCol w:w="2860"/>
      </w:tblGrid>
      <w:tr>
        <w:tc>
          <w:tcPr>
            <w:tcW w:type="dxa" w:w="350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Variable</w:t>
            </w:r>
          </w:p>
        </w:tc>
        <w:tc>
          <w:tcPr>
            <w:tcW w:type="dxa" w:w="300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Default</w:t>
            </w:r>
          </w:p>
        </w:tc>
        <w:tc>
          <w:tcPr>
            <w:tcW w:type="dxa" w:w="286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Description</w:t>
            </w:r>
          </w:p>
        </w:tc>
      </w:tr>
      <w:tr>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RKA_EMBEDDINGS_ENABLED</w:t>
            </w:r>
          </w:p>
        </w:tc>
        <w:tc>
          <w:tcPr>
            <w:tcW w:type="dxa" w:w="3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false</w:t>
            </w:r>
          </w:p>
        </w:tc>
        <w:tc>
          <w:tcPr>
            <w:tcW w:type="dxa" w:w="28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Enable embedding generation (local, lightweight)</w:t>
            </w:r>
          </w:p>
        </w:tc>
      </w:tr>
      <w:tr>
        <w:tc>
          <w:tcPr>
            <w:tcW w:type="dxa" w:w="3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RKA_EMBEDDING_MODEL</w:t>
            </w:r>
          </w:p>
        </w:tc>
        <w:tc>
          <w:tcPr>
            <w:tcW w:type="dxa" w:w="3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nomic-ai/nomic-embed-text-v1.5</w:t>
            </w:r>
          </w:p>
        </w:tc>
        <w:tc>
          <w:tcPr>
            <w:tcW w:type="dxa" w:w="28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FastEmbed model (~130MB ONNX, no GPU)</w:t>
            </w:r>
          </w:p>
        </w:tc>
      </w:tr>
    </w:tbl>
    <w:p>
      <w:pPr>
        <w:spacing w:after="80"/>
      </w:pPr>
    </w:p>
    <w:p>
      <w:pPr>
        <w:pStyle w:val="Heading2"/>
      </w:pPr>
      <w:r>
        <w:t xml:space="preserve">18.3 — Context Engine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700"/>
        <w:gridCol w:w="1500"/>
        <w:gridCol w:w="4160"/>
      </w:tblGrid>
      <w:tr>
        <w:tc>
          <w:tcPr>
            <w:tcW w:type="dxa" w:w="370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Variable</w:t>
            </w:r>
          </w:p>
        </w:tc>
        <w:tc>
          <w:tcPr>
            <w:tcW w:type="dxa" w:w="150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Default</w:t>
            </w:r>
          </w:p>
        </w:tc>
        <w:tc>
          <w:tcPr>
            <w:tcW w:type="dxa" w:w="416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Description</w:t>
            </w:r>
          </w:p>
        </w:tc>
      </w:tr>
      <w:tr>
        <w:tc>
          <w:tcPr>
            <w:tcW w:type="dxa" w:w="37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RKA_CONTEXT_HOT_DAYS</w:t>
            </w:r>
          </w:p>
        </w:tc>
        <w:tc>
          <w:tcPr>
            <w:tcW w:type="dxa" w:w="1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3</w:t>
            </w:r>
          </w:p>
        </w:tc>
        <w:tc>
          <w:tcPr>
            <w:tcW w:type="dxa" w:w="41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Days for HOT temperature classification</w:t>
            </w:r>
          </w:p>
        </w:tc>
      </w:tr>
      <w:tr>
        <w:tc>
          <w:tcPr>
            <w:tcW w:type="dxa" w:w="37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RKA_CONTEXT_WARM_DAYS</w:t>
            </w:r>
          </w:p>
        </w:tc>
        <w:tc>
          <w:tcPr>
            <w:tcW w:type="dxa" w:w="1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14</w:t>
            </w:r>
          </w:p>
        </w:tc>
        <w:tc>
          <w:tcPr>
            <w:tcW w:type="dxa" w:w="41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Days for WARM temperature classification</w:t>
            </w:r>
          </w:p>
        </w:tc>
      </w:tr>
      <w:tr>
        <w:tc>
          <w:tcPr>
            <w:tcW w:type="dxa" w:w="37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RKA_CONTEXT_DEFAULT_MAX_TOKENS</w:t>
            </w:r>
          </w:p>
        </w:tc>
        <w:tc>
          <w:tcPr>
            <w:tcW w:type="dxa" w:w="1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2000</w:t>
            </w:r>
          </w:p>
        </w:tc>
        <w:tc>
          <w:tcPr>
            <w:tcW w:type="dxa" w:w="41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Default token budget for context packages</w:t>
            </w:r>
          </w:p>
        </w:tc>
      </w:tr>
    </w:tbl>
    <w:p>
      <w:r>
        <w:br w:type="page"/>
      </w:r>
    </w:p>
    <w:p>
      <w:pPr>
        <w:pStyle w:val="Heading1"/>
      </w:pPr>
      <w:r>
        <w:t xml:space="preserve">Chapter 19: Troubleshooting</w:t>
      </w:r>
    </w:p>
    <w:p>
      <w:pPr>
        <w:pStyle w:val="Heading2"/>
      </w:pPr>
      <w:r>
        <w:t xml:space="preserve">Common Issues</w:t>
      </w:r>
    </w:p>
    <w:p>
      <w:pPr>
        <w:spacing w:after="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500"/>
        <w:gridCol w:w="2930"/>
        <w:gridCol w:w="3930"/>
      </w:tblGrid>
      <w:tr>
        <w:tc>
          <w:tcPr>
            <w:tcW w:type="dxa" w:w="250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Problem</w:t>
            </w:r>
          </w:p>
        </w:tc>
        <w:tc>
          <w:tcPr>
            <w:tcW w:type="dxa" w:w="293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Cause</w:t>
            </w:r>
          </w:p>
        </w:tc>
        <w:tc>
          <w:tcPr>
            <w:tcW w:type="dxa" w:w="3930"/>
            <w:tcBorders>
              <w:top w:val="single" w:color="CCCCCC" w:sz="1"/>
              <w:left w:val="single" w:color="CCCCCC" w:sz="1"/>
              <w:bottom w:val="single" w:color="CCCCCC" w:sz="1"/>
              <w:right w:val="single" w:color="CCCCCC" w:sz="1"/>
            </w:tcBorders>
            <w:shd w:fill="1A1A2E" w:val="clear"/>
            <w:tcMar>
              <w:top w:type="dxa" w:w="60"/>
              <w:left w:type="dxa" w:w="100"/>
              <w:bottom w:type="dxa" w:w="60"/>
              <w:right w:type="dxa" w:w="100"/>
            </w:tcMar>
          </w:tcPr>
          <w:p>
            <w:pPr>
              <w:spacing w:after="40"/>
            </w:pPr>
            <w:r>
              <w:rPr>
                <w:rFonts w:ascii="Arial" w:cs="Arial" w:eastAsia="Arial" w:hAnsi="Arial"/>
                <w:b/>
                <w:bCs/>
                <w:color w:val="FFFFFF"/>
                <w:sz w:val="20"/>
                <w:szCs w:val="20"/>
              </w:rPr>
              <w:t xml:space="preserve">Fix</w:t>
            </w:r>
          </w:p>
        </w:tc>
      </w:tr>
      <w:tr>
        <w:tc>
          <w:tcPr>
            <w:tcW w:type="dxa" w:w="2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MCP tool not visible in Claude</w:t>
            </w:r>
          </w:p>
        </w:tc>
        <w:tc>
          <w:tcPr>
            <w:tcW w:type="dxa" w:w="293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Claude caches tool list on connect; or tool is deferred</w:t>
            </w:r>
          </w:p>
        </w:tc>
        <w:tc>
          <w:tcPr>
            <w:tcW w:type="dxa" w:w="393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Restart Claude Desktop; or use tool_search to load deferred tools</w:t>
            </w:r>
          </w:p>
        </w:tc>
      </w:tr>
      <w:tr>
        <w:tc>
          <w:tcPr>
            <w:tcW w:type="dxa" w:w="2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rka_trace_provenance returns error</w:t>
            </w:r>
          </w:p>
        </w:tc>
        <w:tc>
          <w:tcPr>
            <w:tcW w:type="dxa" w:w="293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Known bug: empty response parsing</w:t>
            </w:r>
          </w:p>
        </w:tc>
        <w:tc>
          <w:tcPr>
            <w:tcW w:type="dxa" w:w="393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Use rka_get(id) + manual link traversal as workaround</w:t>
            </w:r>
          </w:p>
        </w:tc>
      </w:tr>
      <w:tr>
        <w:tc>
          <w:tcPr>
            <w:tcW w:type="dxa" w:w="2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Knowledge graph shows disconnected columns</w:t>
            </w:r>
          </w:p>
        </w:tc>
        <w:tc>
          <w:tcPr>
            <w:tcW w:type="dxa" w:w="293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Missing provenance links between entity types</w:t>
            </w:r>
          </w:p>
        </w:tc>
        <w:tc>
          <w:tcPr>
            <w:tcW w:type="dxa" w:w="393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Brain processes rka_get_pending_maintenance() items</w:t>
            </w:r>
          </w:p>
        </w:tc>
      </w:tr>
      <w:tr>
        <w:tc>
          <w:tcPr>
            <w:tcW w:type="dxa" w:w="2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Research map has many unassigned clusters</w:t>
            </w:r>
          </w:p>
        </w:tc>
        <w:tc>
          <w:tcPr>
            <w:tcW w:type="dxa" w:w="293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Clusters not linked to research questions</w:t>
            </w:r>
          </w:p>
        </w:tc>
        <w:tc>
          <w:tcPr>
            <w:tcW w:type="dxa" w:w="393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Brain assigns via rka_review_cluster with research_question_id</w:t>
            </w:r>
          </w:p>
        </w:tc>
      </w:tr>
      <w:tr>
        <w:tc>
          <w:tcPr>
            <w:tcW w:type="dxa" w:w="2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Docker container unhealthy</w:t>
            </w:r>
          </w:p>
        </w:tc>
        <w:tc>
          <w:tcPr>
            <w:tcW w:type="dxa" w:w="293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API not responding</w:t>
            </w:r>
          </w:p>
        </w:tc>
        <w:tc>
          <w:tcPr>
            <w:tcW w:type="dxa" w:w="393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Check docker compose logs -f rka; rebuild with --build</w:t>
            </w:r>
          </w:p>
        </w:tc>
      </w:tr>
      <w:tr>
        <w:tc>
          <w:tcPr>
            <w:tcW w:type="dxa" w:w="25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MCP binary out of date</w:t>
            </w:r>
          </w:p>
        </w:tc>
        <w:tc>
          <w:tcPr>
            <w:tcW w:type="dxa" w:w="293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Source changed but pipx not reinstalled</w:t>
            </w:r>
          </w:p>
        </w:tc>
        <w:tc>
          <w:tcPr>
            <w:tcW w:type="dxa" w:w="393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Arial" w:cs="Arial" w:eastAsia="Arial" w:hAnsi="Arial"/>
                <w:sz w:val="20"/>
                <w:szCs w:val="20"/>
              </w:rPr>
              <w:t xml:space="preserve">Run: pipx install . --force</w:t>
            </w:r>
          </w:p>
        </w:tc>
      </w:tr>
    </w:tbl>
    <w:sectPr>
      <w:headerReference w:type="default" r:id="rId6"/>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999999"/>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CCCCC" w:sz="2" w:space="4"/>
      </w:pBdr>
      <w:jc w:val="right"/>
    </w:pPr>
    <w:r>
      <w:rPr>
        <w:rFonts w:ascii="Arial" w:cs="Arial" w:eastAsia="Arial" w:hAnsi="Arial"/>
        <w:color w:val="999999"/>
        <w:sz w:val="16"/>
        <w:szCs w:val="16"/>
      </w:rPr>
      <w:t xml:space="preserve">RKA v2.0 User Manual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bullet"/>
      <w:lvlText w:val="•"/>
      <w:lvlJc w:val="left"/>
      <w:pPr>
        <w:ind w:left="720" w:hanging="360"/>
      </w:pPr>
    </w:lvl>
  </w:abstractNum>
  <w:abstractNum w:abstractNumId="4" w15:restartNumberingAfterBreak="0">
    <w:multiLevelType w:val="hybridMultilevel"/>
    <w:lvl w:ilvl="0" w15:tentative="1">
      <w:start w:val="1"/>
      <w:numFmt w:val="bullet"/>
      <w:lvlText w:val="•"/>
      <w:lvlJc w:val="left"/>
      <w:pPr>
        <w:ind w:left="720" w:hanging="360"/>
      </w:pPr>
    </w:lvl>
  </w:abstractNum>
  <w:abstractNum w:abstractNumId="5" w15:restartNumberingAfterBreak="0">
    <w:multiLevelType w:val="hybridMultilevel"/>
    <w:lvl w:ilvl="0" w15:tentative="1">
      <w:start w:val="1"/>
      <w:numFmt w:val="decimal"/>
      <w:lvlText w:val="%1."/>
      <w:lvlJc w:val="left"/>
      <w:pPr>
        <w:ind w:left="720" w:hanging="360"/>
      </w:pPr>
    </w:lvl>
  </w:abstractNum>
  <w:abstractNum w:abstractNumId="6" w15:restartNumberingAfterBreak="0">
    <w:multiLevelType w:val="hybridMultilevel"/>
    <w:lvl w:ilvl="0" w15:tentative="1">
      <w:start w:val="1"/>
      <w:numFmt w:val="decimal"/>
      <w:lvlText w:val="%1."/>
      <w:lvlJc w:val="left"/>
      <w:pPr>
        <w:ind w:left="720" w:hanging="360"/>
      </w:pPr>
    </w:lvl>
  </w:abstractNum>
  <w:abstractNum w:abstractNumId="7" w15:restartNumberingAfterBreak="0">
    <w:multiLevelType w:val="hybridMultilevel"/>
    <w:lvl w:ilvl="0" w15:tentative="1">
      <w:start w:val="1"/>
      <w:numFmt w:val="decimal"/>
      <w:lvlText w:val="%1."/>
      <w:lvlJc w:val="left"/>
      <w:pPr>
        <w:ind w:left="720" w:hanging="360"/>
      </w:pPr>
    </w:lvl>
  </w:abstractNum>
  <w:abstractNum w:abstractNumId="8" w15:restartNumberingAfterBreak="0">
    <w:multiLevelType w:val="hybridMultilevel"/>
    <w:lvl w:ilvl="0" w15:tentative="1">
      <w:start w:val="1"/>
      <w:numFmt w:val="decimal"/>
      <w:lvlText w:val="%1."/>
      <w:lvlJc w:val="left"/>
      <w:pPr>
        <w:ind w:left="720" w:hanging="360"/>
      </w:pPr>
    </w:lvl>
  </w:abstractNum>
  <w:abstractNum w:abstractNumId="9" w15:restartNumberingAfterBreak="0">
    <w:multiLevelType w:val="hybridMultilevel"/>
    <w:lvl w:ilvl="0" w15:tentative="1">
      <w:start w:val="1"/>
      <w:numFmt w:val="decimal"/>
      <w:lvlText w:val="%1."/>
      <w:lvlJc w:val="left"/>
      <w:pPr>
        <w:ind w:left="720" w:hanging="360"/>
      </w:pPr>
    </w:lvl>
  </w:abstractNum>
  <w:abstractNum w:abstractNumId="10"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5"/>
    <w:lvlOverride w:ilvl="0">
      <w:startOverride w:val="1"/>
    </w:lvlOverride>
  </w:num>
  <w:num w:numId="3">
    <w:abstractNumId w:val="6"/>
    <w:lvlOverride w:ilvl="0">
      <w:startOverride w:val="1"/>
    </w:lvlOverride>
  </w:num>
  <w:num w:numId="4">
    <w:abstractNumId w:val="7"/>
    <w:lvlOverride w:ilvl="0">
      <w:startOverride w:val="1"/>
    </w:lvlOverride>
  </w:num>
  <w:num w:numId="5">
    <w:abstractNumId w:val="8"/>
    <w:lvlOverride w:ilvl="0">
      <w:startOverride w:val="1"/>
    </w:lvlOverride>
  </w:num>
  <w:num w:numId="6">
    <w:abstractNumId w:val="9"/>
    <w:lvlOverride w:ilvl="0">
      <w:startOverride w:val="1"/>
    </w:lvlOverride>
  </w:num>
  <w:num w:numId="7">
    <w:abstractNumId w:val="2"/>
    <w:lvlOverride w:ilvl="0">
      <w:startOverride w:val="1"/>
    </w:lvlOverride>
  </w:num>
  <w:num w:numId="8">
    <w:abstractNumId w:val="10"/>
    <w:lvlOverride w:ilvl="0">
      <w:startOverride w:val="1"/>
    </w:lvlOverride>
  </w:num>
  <w:num w:numId="9">
    <w:abstractNumId w:val="3"/>
    <w:lvlOverride w:ilvl="0">
      <w:startOverride w:val="1"/>
    </w:lvlOverride>
  </w:num>
  <w:num w:numId="10">
    <w:abstractNumId w:val="4"/>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360" w:after="200"/>
      <w:outlineLvl w:val="0"/>
    </w:pPr>
    <w:rPr>
      <w:rFonts w:ascii="Arial" w:cs="Arial" w:eastAsia="Arial" w:hAnsi="Arial"/>
      <w:b/>
      <w:bCs/>
      <w:color w:val="1A1A2E"/>
      <w:sz w:val="32"/>
      <w:szCs w:val="32"/>
    </w:rPr>
  </w:style>
  <w:style w:type="paragraph" w:styleId="Heading2">
    <w:name w:val="Heading 2"/>
    <w:basedOn w:val="Normal"/>
    <w:next w:val="Normal"/>
    <w:qFormat/>
    <w:pPr>
      <w:spacing w:before="240" w:after="140"/>
      <w:outlineLvl w:val="1"/>
    </w:pPr>
    <w:rPr>
      <w:rFonts w:ascii="Arial" w:cs="Arial" w:eastAsia="Arial" w:hAnsi="Arial"/>
      <w:b/>
      <w:bCs/>
      <w:color w:val="333333"/>
      <w:sz w:val="26"/>
      <w:szCs w:val="26"/>
    </w:rPr>
  </w:style>
  <w:style w:type="paragraph" w:styleId="Heading3">
    <w:name w:val="Heading 3"/>
    <w:basedOn w:val="Normal"/>
    <w:next w:val="Normal"/>
    <w:qFormat/>
    <w:pPr>
      <w:spacing w:before="180" w:after="100"/>
      <w:outlineLvl w:val="2"/>
    </w:pPr>
    <w:rPr>
      <w:rFonts w:ascii="Arial" w:cs="Arial" w:eastAsia="Arial" w:hAnsi="Arial"/>
      <w:b/>
      <w:bCs/>
      <w:color w:val="555555"/>
      <w:sz w:val="23"/>
      <w:szCs w:val="23"/>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2026-03-23T04:10:14.323Z</dcterms:created>
  <dcterms:modified xsi:type="dcterms:W3CDTF">2026-03-23T04:10:14.324Z</dcterms:modified>
</cp:coreProperties>
</file>

<file path=docProps/custom.xml><?xml version="1.0" encoding="utf-8"?>
<Properties xmlns="http://schemas.openxmlformats.org/officeDocument/2006/custom-properties" xmlns:vt="http://schemas.openxmlformats.org/officeDocument/2006/docPropsVTypes"/>
</file>