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r>
        <w:t>Deal summary memo. Asking price 12,500,000. 120-unit garden-style asset, 94% occupancy, NOI 845,000.</w:t>
      </w:r>
    </w:p>
  </w:body>
</w:document>
</file>