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2" w:name="service-invoice"/>
    <w:p>
      <w:pPr>
        <w:pStyle w:val="Heading1"/>
      </w:pPr>
      <w:r>
        <w:t xml:space="preserve">SERVICE INVOICE</w:t>
      </w:r>
    </w:p>
    <w:tbl>
      <w:tblPr>
        <w:tblStyle w:val="Table"/>
        <w:tblW w:type="auto" w:w="0"/>
        <w:tblLook w:firstRow="0" w:lastRow="0" w:firstColumn="0" w:lastColumn="0" w:noHBand="0" w:noVBand="0" w:val="0000"/>
      </w:tblPr>
      <w:tblGrid>
        <w:gridCol w:w="3960"/>
        <w:gridCol w:w="3960"/>
      </w:tblGrid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Invoice ID</w:t>
            </w:r>
          </w:p>
        </w:tc>
        <w:tc>
          <w:tcPr/>
          <w:p>
            <w:pPr>
              <w:pStyle w:val="Compact"/>
            </w:pPr>
            <w:r>
              <w:t xml:space="preserve">INV-1002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Issue date</w:t>
            </w:r>
          </w:p>
        </w:tc>
        <w:tc>
          <w:tcPr/>
          <w:p>
            <w:pPr>
              <w:pStyle w:val="Compact"/>
            </w:pPr>
            <w:r>
              <w:t xml:space="preserve">2026-05-11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Due date</w:t>
            </w:r>
          </w:p>
        </w:tc>
        <w:tc>
          <w:tcPr/>
          <w:p>
            <w:pPr>
              <w:pStyle w:val="Compact"/>
            </w:pPr>
            <w:r>
              <w:t xml:space="preserve">2026-05-25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Payment terms</w:t>
            </w:r>
          </w:p>
        </w:tc>
        <w:tc>
          <w:tcPr/>
          <w:p>
            <w:pPr>
              <w:pStyle w:val="Compact"/>
            </w:pPr>
            <w:r>
              <w:t xml:space="preserve">Net 14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PO number</w:t>
            </w:r>
          </w:p>
        </w:tc>
        <w:tc>
          <w:tcPr/>
          <w:p>
            <w:pPr>
              <w:pStyle w:val="Compact"/>
            </w:pPr>
            <w:r>
              <w:t xml:space="preserve">PO-LR-44907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Currency</w:t>
            </w:r>
          </w:p>
        </w:tc>
        <w:tc>
          <w:tcPr/>
          <w:p>
            <w:pPr>
              <w:pStyle w:val="Compact"/>
            </w:pPr>
            <w:r>
              <w:t xml:space="preserve">USD</w:t>
            </w:r>
          </w:p>
        </w:tc>
      </w:tr>
    </w:tbl>
    <w:bookmarkStart w:id="9" w:name="service-provider"/>
    <w:p>
      <w:pPr>
        <w:pStyle w:val="Heading2"/>
      </w:pPr>
      <w:r>
        <w:t xml:space="preserve">Service Provider</w:t>
      </w:r>
    </w:p>
    <w:p>
      <w:pPr>
        <w:pStyle w:val="FirstParagraph"/>
      </w:pPr>
      <w:r>
        <w:t xml:space="preserve">Brightline Software LLC</w:t>
      </w:r>
      <w:r>
        <w:br/>
      </w:r>
      <w:r>
        <w:t xml:space="preserve">77 Market Street, 5th Floor, San Jose, CA 95113, USA</w:t>
      </w:r>
      <w:r>
        <w:br/>
      </w:r>
      <w:r>
        <w:t xml:space="preserve">billing@brightline.io</w:t>
      </w:r>
    </w:p>
    <w:tbl>
      <w:tblPr>
        <w:tblStyle w:val="Table"/>
        <w:tblW w:type="auto" w:w="0"/>
        <w:tblLook w:firstRow="0" w:lastRow="0" w:firstColumn="0" w:lastColumn="0" w:noHBand="0" w:noVBand="0" w:val="0000"/>
      </w:tblPr>
      <w:tblGrid>
        <w:gridCol w:w="3960"/>
        <w:gridCol w:w="3960"/>
      </w:tblGrid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Vendor ID</w:t>
            </w:r>
          </w:p>
        </w:tc>
        <w:tc>
          <w:tcPr/>
          <w:p>
            <w:pPr>
              <w:pStyle w:val="Compact"/>
            </w:pPr>
            <w:r>
              <w:t xml:space="preserve">V-1002</w:t>
            </w:r>
          </w:p>
        </w:tc>
      </w:tr>
    </w:tbl>
    <w:bookmarkEnd w:id="9"/>
    <w:bookmarkStart w:id="10" w:name="billed-to"/>
    <w:p>
      <w:pPr>
        <w:pStyle w:val="Heading2"/>
      </w:pPr>
      <w:r>
        <w:t xml:space="preserve">Billed To</w:t>
      </w:r>
    </w:p>
    <w:p>
      <w:pPr>
        <w:pStyle w:val="FirstParagraph"/>
      </w:pPr>
      <w:r>
        <w:t xml:space="preserve">Lumera Robotics, Inc. (Accounts Payable), Oakland, CA 94607, USA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Description</w:t>
            </w:r>
          </w:p>
        </w:tc>
        <w:tc>
          <w:tcPr/>
          <w:p>
            <w:pPr>
              <w:pStyle w:val="Compact"/>
            </w:pPr>
            <w:r>
              <w:t xml:space="preserve">Qty</w:t>
            </w:r>
          </w:p>
        </w:tc>
        <w:tc>
          <w:tcPr/>
          <w:p>
            <w:pPr>
              <w:pStyle w:val="Compact"/>
            </w:pPr>
            <w:r>
              <w:t xml:space="preserve">Unit</w:t>
            </w:r>
          </w:p>
        </w:tc>
        <w:tc>
          <w:tcPr/>
          <w:p>
            <w:pPr>
              <w:pStyle w:val="Compact"/>
            </w:pPr>
            <w:r>
              <w:t xml:space="preserve">Amount</w:t>
            </w:r>
          </w:p>
        </w:tc>
      </w:tr>
      <w:tr>
        <w:tc>
          <w:tcPr/>
          <w:p>
            <w:pPr>
              <w:pStyle w:val="Compact"/>
            </w:pPr>
            <w:r>
              <w:t xml:space="preserve">Annual software license — Enterprise tier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$3,600.00</w:t>
            </w:r>
          </w:p>
        </w:tc>
        <w:tc>
          <w:tcPr/>
          <w:p>
            <w:pPr>
              <w:pStyle w:val="Compact"/>
            </w:pPr>
            <w:r>
              <w:t xml:space="preserve">$3,600.00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Onboarding &amp; priority support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$600.00</w:t>
            </w:r>
          </w:p>
        </w:tc>
        <w:tc>
          <w:tcPr/>
          <w:p>
            <w:pPr>
              <w:pStyle w:val="Compact"/>
            </w:pPr>
            <w:r>
              <w:t xml:space="preserve">$600.00</w:t>
            </w:r>
          </w:p>
        </w:tc>
      </w:tr>
    </w:tbl>
    <w:p>
      <w:pPr>
        <w:pStyle w:val="BodyText"/>
      </w:pPr>
      <w:r>
        <w:t xml:space="preserve">Subtotal: $4,200.00</w:t>
      </w:r>
      <w:r>
        <w:br/>
      </w:r>
      <w:r>
        <w:t xml:space="preserve">Volume discount: -$200.00</w:t>
      </w:r>
      <w:r>
        <w:br/>
      </w:r>
      <w:r>
        <w:rPr>
          <w:b/>
          <w:bCs/>
        </w:rPr>
        <w:t xml:space="preserve">Amount Due: $4,000.00</w:t>
      </w:r>
    </w:p>
    <w:p>
      <w:pPr>
        <w:pStyle w:val="BodyText"/>
      </w:pPr>
      <w:r>
        <w:t xml:space="preserve">Tax registration / Tax ID: 98-7654321</w:t>
      </w:r>
    </w:p>
    <w:bookmarkEnd w:id="10"/>
    <w:bookmarkStart w:id="11" w:name="payment-to"/>
    <w:p>
      <w:pPr>
        <w:pStyle w:val="Heading2"/>
      </w:pPr>
      <w:r>
        <w:t xml:space="preserve">Payment To</w:t>
      </w:r>
    </w:p>
    <w:p>
      <w:pPr>
        <w:pStyle w:val="FirstParagraph"/>
      </w:pPr>
      <w:r>
        <w:t xml:space="preserve">Bank: Pacific Commerce Bank</w:t>
      </w:r>
    </w:p>
    <w:p>
      <w:pPr>
        <w:pStyle w:val="BodyText"/>
      </w:pPr>
      <w:r>
        <w:rPr>
          <w:i/>
          <w:iCs/>
        </w:rPr>
        <w:t xml:space="preserve">Brightline Software LLC — please reference INV-1002 with payment. Remit to account BANK-BL-2210.</w:t>
      </w:r>
    </w:p>
    <w:bookmarkEnd w:id="11"/>
    <w:bookmarkEnd w:id="12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2026-06-17T12:15:44Z</dcterms:created>
  <dcterms:modified xsi:type="dcterms:W3CDTF">2026-06-17T12:15:44Z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